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122B" w14:textId="77777777" w:rsidR="00286E1B" w:rsidRDefault="00286E1B">
      <w:pPr>
        <w:ind w:left="-720" w:right="8355"/>
      </w:pPr>
    </w:p>
    <w:tbl>
      <w:tblPr>
        <w:tblStyle w:val="TableGrid"/>
        <w:tblW w:w="10462" w:type="dxa"/>
        <w:tblInd w:w="1" w:type="dxa"/>
        <w:tblCellMar>
          <w:top w:w="10" w:type="dxa"/>
          <w:left w:w="107" w:type="dxa"/>
          <w:right w:w="42" w:type="dxa"/>
        </w:tblCellMar>
        <w:tblLook w:val="04A0" w:firstRow="1" w:lastRow="0" w:firstColumn="1" w:lastColumn="0" w:noHBand="0" w:noVBand="1"/>
      </w:tblPr>
      <w:tblGrid>
        <w:gridCol w:w="1701"/>
        <w:gridCol w:w="2829"/>
        <w:gridCol w:w="5932"/>
      </w:tblGrid>
      <w:tr w:rsidR="00286E1B" w14:paraId="14AEC64F" w14:textId="77777777" w:rsidTr="00F15CF5">
        <w:trPr>
          <w:trHeight w:val="1607"/>
        </w:trPr>
        <w:tc>
          <w:tcPr>
            <w:tcW w:w="4530" w:type="dxa"/>
            <w:gridSpan w:val="2"/>
            <w:tcBorders>
              <w:top w:val="single" w:sz="4" w:space="0" w:color="000000"/>
              <w:left w:val="single" w:sz="4" w:space="0" w:color="000000"/>
              <w:bottom w:val="single" w:sz="4" w:space="0" w:color="000000"/>
              <w:right w:val="single" w:sz="4" w:space="0" w:color="000000"/>
            </w:tcBorders>
          </w:tcPr>
          <w:p w14:paraId="4602B2D8" w14:textId="77777777" w:rsidR="00286E1B" w:rsidRDefault="001568E1">
            <w:pPr>
              <w:spacing w:line="242" w:lineRule="auto"/>
              <w:ind w:right="29"/>
            </w:pPr>
            <w:r>
              <w:rPr>
                <w:rFonts w:ascii="Arial" w:eastAsia="Arial" w:hAnsi="Arial" w:cs="Arial"/>
                <w:b/>
                <w:sz w:val="32"/>
              </w:rPr>
              <w:t xml:space="preserve">The Conservation of Habitats and Species Regulations 2017 – </w:t>
            </w:r>
          </w:p>
          <w:p w14:paraId="7093DD49" w14:textId="77777777" w:rsidR="00286E1B" w:rsidRDefault="001568E1">
            <w:r>
              <w:rPr>
                <w:rFonts w:ascii="Arial" w:eastAsia="Arial" w:hAnsi="Arial" w:cs="Arial"/>
                <w:b/>
                <w:sz w:val="32"/>
              </w:rPr>
              <w:t xml:space="preserve"> </w:t>
            </w:r>
          </w:p>
          <w:p w14:paraId="739D2B08" w14:textId="77777777" w:rsidR="00286E1B" w:rsidRDefault="001568E1">
            <w:r>
              <w:rPr>
                <w:rFonts w:ascii="Arial" w:eastAsia="Arial" w:hAnsi="Arial" w:cs="Arial"/>
                <w:b/>
                <w:sz w:val="32"/>
              </w:rPr>
              <w:t xml:space="preserve">Regulation 63 – Habitats </w:t>
            </w:r>
          </w:p>
          <w:p w14:paraId="6F88D94D" w14:textId="77777777" w:rsidR="00286E1B" w:rsidRDefault="001568E1">
            <w:r>
              <w:rPr>
                <w:rFonts w:ascii="Arial" w:eastAsia="Arial" w:hAnsi="Arial" w:cs="Arial"/>
                <w:b/>
                <w:sz w:val="32"/>
              </w:rPr>
              <w:t>Regulations Assessment</w:t>
            </w:r>
            <w:r>
              <w:rPr>
                <w:rFonts w:ascii="Arial" w:eastAsia="Arial" w:hAnsi="Arial" w:cs="Arial"/>
                <w:sz w:val="32"/>
                <w:vertAlign w:val="subscript"/>
              </w:rPr>
              <w:t xml:space="preserve"> </w:t>
            </w:r>
          </w:p>
        </w:tc>
        <w:tc>
          <w:tcPr>
            <w:tcW w:w="5932" w:type="dxa"/>
            <w:tcBorders>
              <w:top w:val="single" w:sz="4" w:space="0" w:color="000000"/>
              <w:left w:val="single" w:sz="4" w:space="0" w:color="000000"/>
              <w:bottom w:val="single" w:sz="4" w:space="0" w:color="000000"/>
              <w:right w:val="single" w:sz="4" w:space="0" w:color="000000"/>
            </w:tcBorders>
            <w:vAlign w:val="center"/>
          </w:tcPr>
          <w:p w14:paraId="70054180" w14:textId="77777777" w:rsidR="00286E1B" w:rsidRPr="00045BB2" w:rsidRDefault="001568E1">
            <w:pPr>
              <w:ind w:right="63"/>
              <w:jc w:val="center"/>
              <w:rPr>
                <w:b/>
                <w:sz w:val="32"/>
                <w:szCs w:val="32"/>
              </w:rPr>
            </w:pPr>
            <w:r w:rsidRPr="00045BB2">
              <w:rPr>
                <w:rFonts w:ascii="Arial" w:eastAsia="Arial" w:hAnsi="Arial" w:cs="Arial"/>
                <w:b/>
                <w:sz w:val="32"/>
                <w:szCs w:val="32"/>
              </w:rPr>
              <w:t xml:space="preserve">East Devon District Council  </w:t>
            </w:r>
          </w:p>
        </w:tc>
      </w:tr>
      <w:tr w:rsidR="00286E1B" w14:paraId="1AF778F3" w14:textId="77777777">
        <w:trPr>
          <w:trHeight w:val="515"/>
        </w:trPr>
        <w:tc>
          <w:tcPr>
            <w:tcW w:w="10462" w:type="dxa"/>
            <w:gridSpan w:val="3"/>
            <w:tcBorders>
              <w:top w:val="single" w:sz="4" w:space="0" w:color="000000"/>
              <w:left w:val="single" w:sz="4" w:space="0" w:color="000000"/>
              <w:bottom w:val="single" w:sz="4" w:space="0" w:color="000000"/>
              <w:right w:val="single" w:sz="4" w:space="0" w:color="000000"/>
            </w:tcBorders>
            <w:shd w:val="clear" w:color="auto" w:fill="C2D69B"/>
          </w:tcPr>
          <w:p w14:paraId="0FFA9374" w14:textId="77777777" w:rsidR="00286E1B" w:rsidRDefault="001568E1">
            <w:pPr>
              <w:jc w:val="both"/>
            </w:pPr>
            <w:r>
              <w:rPr>
                <w:rFonts w:ascii="Arial" w:eastAsia="Arial" w:hAnsi="Arial" w:cs="Arial"/>
                <w:b/>
                <w:sz w:val="22"/>
              </w:rPr>
              <w:t xml:space="preserve">Stage 1: Habitats Regulations Assessment - Screening of likely significant effect on a European site </w:t>
            </w:r>
          </w:p>
        </w:tc>
      </w:tr>
      <w:tr w:rsidR="00286E1B" w14:paraId="2D8DC64A" w14:textId="77777777">
        <w:trPr>
          <w:trHeight w:val="263"/>
        </w:trPr>
        <w:tc>
          <w:tcPr>
            <w:tcW w:w="10462" w:type="dxa"/>
            <w:gridSpan w:val="3"/>
            <w:tcBorders>
              <w:top w:val="single" w:sz="4" w:space="0" w:color="000000"/>
              <w:left w:val="single" w:sz="4" w:space="0" w:color="000000"/>
              <w:bottom w:val="single" w:sz="4" w:space="0" w:color="000000"/>
              <w:right w:val="single" w:sz="4" w:space="0" w:color="000000"/>
            </w:tcBorders>
            <w:shd w:val="clear" w:color="auto" w:fill="EAF1DD"/>
          </w:tcPr>
          <w:p w14:paraId="22E7B169" w14:textId="77777777" w:rsidR="00286E1B" w:rsidRDefault="001568E1">
            <w:r>
              <w:rPr>
                <w:rFonts w:ascii="Arial" w:eastAsia="Arial" w:hAnsi="Arial" w:cs="Arial"/>
                <w:b/>
                <w:sz w:val="22"/>
              </w:rPr>
              <w:t xml:space="preserve">Part A: The proposal </w:t>
            </w:r>
          </w:p>
        </w:tc>
      </w:tr>
      <w:tr w:rsidR="00286E1B" w14:paraId="09CF8CDE" w14:textId="77777777" w:rsidTr="00045BB2">
        <w:trPr>
          <w:trHeight w:val="770"/>
        </w:trPr>
        <w:tc>
          <w:tcPr>
            <w:tcW w:w="1701" w:type="dxa"/>
            <w:tcBorders>
              <w:top w:val="single" w:sz="4" w:space="0" w:color="000000"/>
              <w:left w:val="single" w:sz="4" w:space="0" w:color="000000"/>
              <w:bottom w:val="single" w:sz="4" w:space="0" w:color="000000"/>
              <w:right w:val="single" w:sz="4" w:space="0" w:color="000000"/>
            </w:tcBorders>
          </w:tcPr>
          <w:p w14:paraId="32FCC0C0" w14:textId="77777777" w:rsidR="00286E1B" w:rsidRDefault="001568E1">
            <w:r>
              <w:rPr>
                <w:rFonts w:ascii="Arial" w:eastAsia="Arial" w:hAnsi="Arial" w:cs="Arial"/>
                <w:sz w:val="22"/>
              </w:rPr>
              <w:t xml:space="preserve">1. Type of permission/ activity </w:t>
            </w:r>
          </w:p>
        </w:tc>
        <w:tc>
          <w:tcPr>
            <w:tcW w:w="8761" w:type="dxa"/>
            <w:gridSpan w:val="2"/>
            <w:tcBorders>
              <w:top w:val="single" w:sz="4" w:space="0" w:color="000000"/>
              <w:left w:val="single" w:sz="4" w:space="0" w:color="000000"/>
              <w:bottom w:val="single" w:sz="4" w:space="0" w:color="000000"/>
              <w:right w:val="single" w:sz="4" w:space="0" w:color="000000"/>
            </w:tcBorders>
            <w:vAlign w:val="center"/>
          </w:tcPr>
          <w:p w14:paraId="257B649C" w14:textId="50FF96F5" w:rsidR="00286E1B" w:rsidRDefault="006A38E9">
            <w:pPr>
              <w:ind w:left="1"/>
            </w:pPr>
            <w:r w:rsidRPr="00763731">
              <w:rPr>
                <w:rFonts w:ascii="Arial" w:eastAsia="Arial" w:hAnsi="Arial" w:cs="Arial"/>
                <w:color w:val="FF0000"/>
                <w:sz w:val="22"/>
              </w:rPr>
              <w:t>TO COMPLETE</w:t>
            </w:r>
          </w:p>
        </w:tc>
      </w:tr>
      <w:tr w:rsidR="00286E1B" w14:paraId="7FFB77C5" w14:textId="77777777" w:rsidTr="00045BB2">
        <w:trPr>
          <w:trHeight w:val="516"/>
        </w:trPr>
        <w:tc>
          <w:tcPr>
            <w:tcW w:w="1701" w:type="dxa"/>
            <w:tcBorders>
              <w:top w:val="single" w:sz="4" w:space="0" w:color="000000"/>
              <w:left w:val="single" w:sz="4" w:space="0" w:color="000000"/>
              <w:bottom w:val="single" w:sz="4" w:space="0" w:color="000000"/>
              <w:right w:val="single" w:sz="4" w:space="0" w:color="000000"/>
            </w:tcBorders>
          </w:tcPr>
          <w:p w14:paraId="7A5BCC1B" w14:textId="77777777" w:rsidR="00286E1B" w:rsidRDefault="001568E1">
            <w:r>
              <w:rPr>
                <w:rFonts w:ascii="Arial" w:eastAsia="Arial" w:hAnsi="Arial" w:cs="Arial"/>
                <w:sz w:val="22"/>
              </w:rPr>
              <w:t xml:space="preserve">2. Application reference no </w:t>
            </w:r>
          </w:p>
        </w:tc>
        <w:tc>
          <w:tcPr>
            <w:tcW w:w="8761" w:type="dxa"/>
            <w:gridSpan w:val="2"/>
            <w:tcBorders>
              <w:top w:val="single" w:sz="4" w:space="0" w:color="000000"/>
              <w:left w:val="single" w:sz="4" w:space="0" w:color="000000"/>
              <w:bottom w:val="single" w:sz="4" w:space="0" w:color="000000"/>
              <w:right w:val="single" w:sz="4" w:space="0" w:color="000000"/>
            </w:tcBorders>
            <w:vAlign w:val="center"/>
          </w:tcPr>
          <w:p w14:paraId="2EB20F23" w14:textId="784F223F" w:rsidR="00286E1B" w:rsidRDefault="006A38E9">
            <w:pPr>
              <w:ind w:left="1"/>
            </w:pPr>
            <w:r w:rsidRPr="00763731">
              <w:rPr>
                <w:rFonts w:ascii="Arial" w:eastAsia="Arial" w:hAnsi="Arial" w:cs="Arial"/>
                <w:color w:val="FF0000"/>
                <w:sz w:val="22"/>
              </w:rPr>
              <w:t>TO COMPLETE</w:t>
            </w:r>
          </w:p>
        </w:tc>
      </w:tr>
      <w:tr w:rsidR="00286E1B" w14:paraId="227AEFA9" w14:textId="77777777" w:rsidTr="00045BB2">
        <w:trPr>
          <w:trHeight w:val="264"/>
        </w:trPr>
        <w:tc>
          <w:tcPr>
            <w:tcW w:w="1701" w:type="dxa"/>
            <w:tcBorders>
              <w:top w:val="single" w:sz="4" w:space="0" w:color="000000"/>
              <w:left w:val="single" w:sz="4" w:space="0" w:color="000000"/>
              <w:bottom w:val="single" w:sz="4" w:space="0" w:color="000000"/>
              <w:right w:val="single" w:sz="4" w:space="0" w:color="000000"/>
            </w:tcBorders>
          </w:tcPr>
          <w:p w14:paraId="6D2EBA66" w14:textId="77777777" w:rsidR="00286E1B" w:rsidRDefault="001568E1">
            <w:r>
              <w:rPr>
                <w:rFonts w:ascii="Arial" w:eastAsia="Arial" w:hAnsi="Arial" w:cs="Arial"/>
                <w:sz w:val="22"/>
              </w:rPr>
              <w:t xml:space="preserve">3. Site address </w:t>
            </w:r>
          </w:p>
        </w:tc>
        <w:tc>
          <w:tcPr>
            <w:tcW w:w="8761" w:type="dxa"/>
            <w:gridSpan w:val="2"/>
            <w:tcBorders>
              <w:top w:val="single" w:sz="4" w:space="0" w:color="000000"/>
              <w:left w:val="single" w:sz="4" w:space="0" w:color="000000"/>
              <w:bottom w:val="single" w:sz="4" w:space="0" w:color="000000"/>
              <w:right w:val="single" w:sz="4" w:space="0" w:color="000000"/>
            </w:tcBorders>
          </w:tcPr>
          <w:p w14:paraId="34B1C262" w14:textId="0EE1C4A6" w:rsidR="00286E1B" w:rsidRDefault="006A38E9">
            <w:pPr>
              <w:ind w:left="1"/>
            </w:pPr>
            <w:r w:rsidRPr="00763731">
              <w:rPr>
                <w:rFonts w:ascii="Arial" w:eastAsia="Arial" w:hAnsi="Arial" w:cs="Arial"/>
                <w:color w:val="FF0000"/>
                <w:sz w:val="22"/>
              </w:rPr>
              <w:t>TO COMPLETE</w:t>
            </w:r>
          </w:p>
        </w:tc>
      </w:tr>
      <w:tr w:rsidR="00286E1B" w14:paraId="0BE3DBDE" w14:textId="77777777" w:rsidTr="00763731">
        <w:trPr>
          <w:trHeight w:val="2663"/>
        </w:trPr>
        <w:tc>
          <w:tcPr>
            <w:tcW w:w="1701" w:type="dxa"/>
            <w:tcBorders>
              <w:top w:val="single" w:sz="4" w:space="0" w:color="000000"/>
              <w:left w:val="single" w:sz="4" w:space="0" w:color="000000"/>
              <w:bottom w:val="single" w:sz="4" w:space="0" w:color="000000"/>
              <w:right w:val="single" w:sz="4" w:space="0" w:color="000000"/>
            </w:tcBorders>
          </w:tcPr>
          <w:p w14:paraId="6148F9DD" w14:textId="77777777" w:rsidR="00286E1B" w:rsidRDefault="001568E1">
            <w:r>
              <w:rPr>
                <w:rFonts w:ascii="Arial" w:eastAsia="Arial" w:hAnsi="Arial" w:cs="Arial"/>
                <w:sz w:val="22"/>
              </w:rPr>
              <w:t xml:space="preserve">4. Brief description of proposal </w:t>
            </w:r>
          </w:p>
        </w:tc>
        <w:tc>
          <w:tcPr>
            <w:tcW w:w="8761" w:type="dxa"/>
            <w:gridSpan w:val="2"/>
            <w:tcBorders>
              <w:top w:val="single" w:sz="4" w:space="0" w:color="000000"/>
              <w:left w:val="single" w:sz="4" w:space="0" w:color="000000"/>
              <w:bottom w:val="single" w:sz="4" w:space="0" w:color="000000"/>
              <w:right w:val="single" w:sz="4" w:space="0" w:color="000000"/>
            </w:tcBorders>
          </w:tcPr>
          <w:p w14:paraId="29CE2BBC" w14:textId="5F746222" w:rsidR="00286E1B" w:rsidRDefault="00286E1B">
            <w:pPr>
              <w:ind w:left="1"/>
            </w:pPr>
          </w:p>
          <w:p w14:paraId="6570A73B" w14:textId="3A001BA3" w:rsidR="00286E1B" w:rsidRDefault="00286E1B">
            <w:pPr>
              <w:spacing w:after="13"/>
            </w:pPr>
          </w:p>
          <w:p w14:paraId="2DCC7DC4" w14:textId="0641CE3A" w:rsidR="00286E1B" w:rsidRDefault="001568E1">
            <w:pPr>
              <w:ind w:left="1"/>
            </w:pPr>
            <w:r>
              <w:rPr>
                <w:rFonts w:ascii="Arial" w:eastAsia="Arial" w:hAnsi="Arial" w:cs="Arial"/>
                <w:sz w:val="22"/>
              </w:rPr>
              <w:t xml:space="preserve"> </w:t>
            </w:r>
            <w:r w:rsidR="006A38E9" w:rsidRPr="00763731">
              <w:rPr>
                <w:rFonts w:ascii="Arial" w:eastAsia="Arial" w:hAnsi="Arial" w:cs="Arial"/>
                <w:color w:val="FF0000"/>
                <w:sz w:val="22"/>
              </w:rPr>
              <w:t>TO COMPLETE</w:t>
            </w:r>
          </w:p>
          <w:p w14:paraId="1901A14C" w14:textId="77777777" w:rsidR="00286E1B" w:rsidRDefault="001568E1">
            <w:pPr>
              <w:ind w:left="1"/>
            </w:pPr>
            <w:r>
              <w:rPr>
                <w:rFonts w:ascii="Arial" w:eastAsia="Arial" w:hAnsi="Arial" w:cs="Arial"/>
                <w:sz w:val="22"/>
              </w:rPr>
              <w:t xml:space="preserve"> </w:t>
            </w:r>
          </w:p>
          <w:p w14:paraId="6E9592F5" w14:textId="77777777" w:rsidR="00286E1B" w:rsidRDefault="001568E1">
            <w:pPr>
              <w:ind w:left="1"/>
            </w:pPr>
            <w:r>
              <w:rPr>
                <w:rFonts w:ascii="Arial" w:eastAsia="Arial" w:hAnsi="Arial" w:cs="Arial"/>
                <w:sz w:val="22"/>
              </w:rPr>
              <w:t xml:space="preserve"> </w:t>
            </w:r>
          </w:p>
          <w:p w14:paraId="7B33C39A" w14:textId="77777777" w:rsidR="00286E1B" w:rsidRDefault="001568E1">
            <w:pPr>
              <w:ind w:left="1"/>
            </w:pPr>
            <w:r>
              <w:rPr>
                <w:rFonts w:ascii="Arial" w:eastAsia="Arial" w:hAnsi="Arial" w:cs="Arial"/>
                <w:sz w:val="22"/>
              </w:rPr>
              <w:t xml:space="preserve"> </w:t>
            </w:r>
          </w:p>
        </w:tc>
      </w:tr>
    </w:tbl>
    <w:p w14:paraId="3F767CEF" w14:textId="77777777" w:rsidR="00286E1B" w:rsidRDefault="00286E1B">
      <w:pPr>
        <w:ind w:left="-720" w:right="8355"/>
      </w:pPr>
    </w:p>
    <w:tbl>
      <w:tblPr>
        <w:tblStyle w:val="TableGrid"/>
        <w:tblW w:w="10462" w:type="dxa"/>
        <w:tblInd w:w="1" w:type="dxa"/>
        <w:tblCellMar>
          <w:top w:w="10" w:type="dxa"/>
          <w:left w:w="107" w:type="dxa"/>
          <w:right w:w="42" w:type="dxa"/>
        </w:tblCellMar>
        <w:tblLook w:val="04A0" w:firstRow="1" w:lastRow="0" w:firstColumn="1" w:lastColumn="0" w:noHBand="0" w:noVBand="1"/>
      </w:tblPr>
      <w:tblGrid>
        <w:gridCol w:w="1701"/>
        <w:gridCol w:w="8761"/>
      </w:tblGrid>
      <w:tr w:rsidR="00286E1B" w14:paraId="2ABF025B" w14:textId="77777777">
        <w:trPr>
          <w:trHeight w:val="259"/>
        </w:trPr>
        <w:tc>
          <w:tcPr>
            <w:tcW w:w="10462" w:type="dxa"/>
            <w:gridSpan w:val="2"/>
            <w:tcBorders>
              <w:top w:val="single" w:sz="4" w:space="0" w:color="000000"/>
              <w:left w:val="single" w:sz="4" w:space="0" w:color="000000"/>
              <w:bottom w:val="single" w:sz="4" w:space="0" w:color="000000"/>
              <w:right w:val="single" w:sz="4" w:space="0" w:color="000000"/>
            </w:tcBorders>
            <w:shd w:val="clear" w:color="auto" w:fill="EAF1DD"/>
          </w:tcPr>
          <w:p w14:paraId="0F0415A5" w14:textId="77777777" w:rsidR="00286E1B" w:rsidRDefault="001568E1">
            <w:r>
              <w:rPr>
                <w:rFonts w:ascii="Arial" w:eastAsia="Arial" w:hAnsi="Arial" w:cs="Arial"/>
                <w:b/>
                <w:sz w:val="22"/>
              </w:rPr>
              <w:t xml:space="preserve">Part B: The European site(s) </w:t>
            </w:r>
          </w:p>
        </w:tc>
      </w:tr>
      <w:tr w:rsidR="00286E1B" w14:paraId="6F56FC52" w14:textId="77777777" w:rsidTr="009A4886">
        <w:trPr>
          <w:trHeight w:val="7075"/>
        </w:trPr>
        <w:tc>
          <w:tcPr>
            <w:tcW w:w="1701" w:type="dxa"/>
            <w:tcBorders>
              <w:top w:val="single" w:sz="4" w:space="0" w:color="000000"/>
              <w:left w:val="single" w:sz="4" w:space="0" w:color="000000"/>
              <w:bottom w:val="single" w:sz="4" w:space="0" w:color="000000"/>
              <w:right w:val="single" w:sz="4" w:space="0" w:color="000000"/>
            </w:tcBorders>
          </w:tcPr>
          <w:p w14:paraId="7CCA255C" w14:textId="77777777" w:rsidR="001E7365" w:rsidRDefault="001568E1">
            <w:pPr>
              <w:rPr>
                <w:rFonts w:ascii="Arial" w:eastAsia="Arial" w:hAnsi="Arial" w:cs="Arial"/>
                <w:sz w:val="22"/>
              </w:rPr>
            </w:pPr>
            <w:r>
              <w:rPr>
                <w:rFonts w:ascii="Arial" w:eastAsia="Arial" w:hAnsi="Arial" w:cs="Arial"/>
                <w:sz w:val="22"/>
              </w:rPr>
              <w:t xml:space="preserve">5. European site name(s), </w:t>
            </w:r>
            <w:r w:rsidR="001E7365">
              <w:rPr>
                <w:rFonts w:ascii="Arial" w:eastAsia="Arial" w:hAnsi="Arial" w:cs="Arial"/>
                <w:sz w:val="22"/>
              </w:rPr>
              <w:t>and</w:t>
            </w:r>
          </w:p>
          <w:p w14:paraId="7208457C" w14:textId="77777777" w:rsidR="00286E1B" w:rsidRDefault="001E7365">
            <w:r>
              <w:rPr>
                <w:rFonts w:ascii="Arial" w:eastAsia="Arial" w:hAnsi="Arial" w:cs="Arial"/>
                <w:sz w:val="22"/>
              </w:rPr>
              <w:t xml:space="preserve">6. </w:t>
            </w:r>
            <w:r w:rsidR="001568E1">
              <w:rPr>
                <w:rFonts w:ascii="Arial" w:eastAsia="Arial" w:hAnsi="Arial" w:cs="Arial"/>
                <w:sz w:val="22"/>
              </w:rPr>
              <w:t xml:space="preserve">Qualifying </w:t>
            </w:r>
          </w:p>
          <w:p w14:paraId="425EAB0B" w14:textId="77777777" w:rsidR="00286E1B" w:rsidRDefault="001568E1">
            <w:r>
              <w:rPr>
                <w:rFonts w:ascii="Arial" w:eastAsia="Arial" w:hAnsi="Arial" w:cs="Arial"/>
                <w:sz w:val="22"/>
              </w:rPr>
              <w:t xml:space="preserve">Features </w:t>
            </w:r>
          </w:p>
        </w:tc>
        <w:tc>
          <w:tcPr>
            <w:tcW w:w="8761" w:type="dxa"/>
            <w:tcBorders>
              <w:top w:val="single" w:sz="4" w:space="0" w:color="000000"/>
              <w:left w:val="single" w:sz="4" w:space="0" w:color="000000"/>
              <w:bottom w:val="single" w:sz="4" w:space="0" w:color="000000"/>
              <w:right w:val="single" w:sz="4" w:space="0" w:color="000000"/>
            </w:tcBorders>
          </w:tcPr>
          <w:p w14:paraId="44D4AEB8" w14:textId="77777777" w:rsidR="00286E1B" w:rsidRDefault="001568E1">
            <w:pPr>
              <w:ind w:left="1"/>
            </w:pPr>
            <w:r>
              <w:rPr>
                <w:rFonts w:ascii="Arial" w:eastAsia="Arial" w:hAnsi="Arial" w:cs="Arial"/>
                <w:b/>
                <w:sz w:val="21"/>
              </w:rPr>
              <w:t xml:space="preserve">River Axe Special Area of Conservation (SAC). </w:t>
            </w:r>
          </w:p>
          <w:p w14:paraId="2E3FAE00" w14:textId="77777777" w:rsidR="00286E1B" w:rsidRDefault="001568E1">
            <w:pPr>
              <w:spacing w:after="16"/>
              <w:ind w:left="1"/>
            </w:pPr>
            <w:r>
              <w:rPr>
                <w:rFonts w:ascii="Arial" w:eastAsia="Arial" w:hAnsi="Arial" w:cs="Arial"/>
                <w:b/>
                <w:sz w:val="22"/>
              </w:rPr>
              <w:t xml:space="preserve"> </w:t>
            </w:r>
          </w:p>
          <w:p w14:paraId="5C02F1B7" w14:textId="77777777" w:rsidR="00286E1B" w:rsidRDefault="001568E1">
            <w:pPr>
              <w:ind w:left="1"/>
            </w:pPr>
            <w:r>
              <w:rPr>
                <w:rFonts w:ascii="Arial" w:eastAsia="Arial" w:hAnsi="Arial" w:cs="Arial"/>
                <w:sz w:val="22"/>
              </w:rPr>
              <w:t xml:space="preserve">The Qualifying Features for the River Axe SAC are: </w:t>
            </w:r>
          </w:p>
          <w:p w14:paraId="77FFF0C3" w14:textId="77777777" w:rsidR="00286E1B" w:rsidRDefault="001568E1">
            <w:pPr>
              <w:ind w:left="1"/>
            </w:pPr>
            <w:r>
              <w:rPr>
                <w:rFonts w:ascii="Arial" w:eastAsia="Arial" w:hAnsi="Arial" w:cs="Arial"/>
                <w:sz w:val="22"/>
              </w:rPr>
              <w:t xml:space="preserve"> </w:t>
            </w:r>
          </w:p>
          <w:p w14:paraId="30C46FA3" w14:textId="77777777" w:rsidR="00286E1B" w:rsidRDefault="001568E1">
            <w:pPr>
              <w:numPr>
                <w:ilvl w:val="0"/>
                <w:numId w:val="2"/>
              </w:numPr>
              <w:ind w:hanging="360"/>
            </w:pPr>
            <w:r>
              <w:rPr>
                <w:rFonts w:ascii="Arial" w:eastAsia="Arial" w:hAnsi="Arial" w:cs="Arial"/>
                <w:sz w:val="22"/>
              </w:rPr>
              <w:t xml:space="preserve">H3260 Water courses of plain to montane levels with </w:t>
            </w:r>
            <w:r>
              <w:rPr>
                <w:rFonts w:ascii="Arial" w:eastAsia="Arial" w:hAnsi="Arial" w:cs="Arial"/>
                <w:i/>
                <w:sz w:val="22"/>
              </w:rPr>
              <w:t xml:space="preserve">R. </w:t>
            </w:r>
            <w:proofErr w:type="spellStart"/>
            <w:r>
              <w:rPr>
                <w:rFonts w:ascii="Arial" w:eastAsia="Arial" w:hAnsi="Arial" w:cs="Arial"/>
                <w:i/>
                <w:sz w:val="22"/>
              </w:rPr>
              <w:t>fluitantis</w:t>
            </w:r>
            <w:proofErr w:type="spellEnd"/>
            <w:r>
              <w:rPr>
                <w:rFonts w:ascii="Arial" w:eastAsia="Arial" w:hAnsi="Arial" w:cs="Arial"/>
                <w:sz w:val="22"/>
              </w:rPr>
              <w:t xml:space="preserve"> </w:t>
            </w:r>
          </w:p>
          <w:p w14:paraId="7AFB915C" w14:textId="77777777" w:rsidR="00286E1B" w:rsidRDefault="001568E1">
            <w:pPr>
              <w:numPr>
                <w:ilvl w:val="0"/>
                <w:numId w:val="2"/>
              </w:numPr>
              <w:ind w:hanging="360"/>
            </w:pPr>
            <w:r>
              <w:rPr>
                <w:rFonts w:ascii="Arial" w:eastAsia="Arial" w:hAnsi="Arial" w:cs="Arial"/>
                <w:sz w:val="22"/>
              </w:rPr>
              <w:t xml:space="preserve">S1095 Sea lamprey, </w:t>
            </w:r>
            <w:r>
              <w:rPr>
                <w:rFonts w:ascii="Arial" w:eastAsia="Arial" w:hAnsi="Arial" w:cs="Arial"/>
                <w:i/>
                <w:sz w:val="22"/>
              </w:rPr>
              <w:t>Petromyzon marinus</w:t>
            </w:r>
            <w:r>
              <w:rPr>
                <w:rFonts w:ascii="Arial" w:eastAsia="Arial" w:hAnsi="Arial" w:cs="Arial"/>
                <w:sz w:val="22"/>
              </w:rPr>
              <w:t xml:space="preserve"> </w:t>
            </w:r>
          </w:p>
          <w:p w14:paraId="20046BC3" w14:textId="77777777" w:rsidR="00286E1B" w:rsidRDefault="001568E1">
            <w:pPr>
              <w:numPr>
                <w:ilvl w:val="0"/>
                <w:numId w:val="2"/>
              </w:numPr>
              <w:ind w:hanging="360"/>
            </w:pPr>
            <w:r>
              <w:rPr>
                <w:rFonts w:ascii="Arial" w:eastAsia="Arial" w:hAnsi="Arial" w:cs="Arial"/>
                <w:sz w:val="22"/>
              </w:rPr>
              <w:t xml:space="preserve">S1096 Brook lamprey, </w:t>
            </w:r>
            <w:proofErr w:type="spellStart"/>
            <w:r>
              <w:rPr>
                <w:rFonts w:ascii="Arial" w:eastAsia="Arial" w:hAnsi="Arial" w:cs="Arial"/>
                <w:i/>
                <w:sz w:val="22"/>
              </w:rPr>
              <w:t>Lampetra</w:t>
            </w:r>
            <w:proofErr w:type="spellEnd"/>
            <w:r>
              <w:rPr>
                <w:rFonts w:ascii="Arial" w:eastAsia="Arial" w:hAnsi="Arial" w:cs="Arial"/>
                <w:i/>
                <w:sz w:val="22"/>
              </w:rPr>
              <w:t xml:space="preserve"> </w:t>
            </w:r>
            <w:proofErr w:type="spellStart"/>
            <w:r>
              <w:rPr>
                <w:rFonts w:ascii="Arial" w:eastAsia="Arial" w:hAnsi="Arial" w:cs="Arial"/>
                <w:i/>
                <w:sz w:val="22"/>
              </w:rPr>
              <w:t>planeri</w:t>
            </w:r>
            <w:proofErr w:type="spellEnd"/>
            <w:r>
              <w:rPr>
                <w:rFonts w:ascii="Arial" w:eastAsia="Arial" w:hAnsi="Arial" w:cs="Arial"/>
                <w:sz w:val="22"/>
              </w:rPr>
              <w:t xml:space="preserve"> </w:t>
            </w:r>
          </w:p>
          <w:p w14:paraId="64A6DCB2" w14:textId="77777777" w:rsidR="00286E1B" w:rsidRDefault="001568E1">
            <w:pPr>
              <w:numPr>
                <w:ilvl w:val="0"/>
                <w:numId w:val="2"/>
              </w:numPr>
              <w:ind w:hanging="360"/>
            </w:pPr>
            <w:r>
              <w:rPr>
                <w:rFonts w:ascii="Arial" w:eastAsia="Arial" w:hAnsi="Arial" w:cs="Arial"/>
                <w:sz w:val="22"/>
              </w:rPr>
              <w:t xml:space="preserve">S1163 Bullhead, </w:t>
            </w:r>
            <w:proofErr w:type="spellStart"/>
            <w:r>
              <w:rPr>
                <w:rFonts w:ascii="Arial" w:eastAsia="Arial" w:hAnsi="Arial" w:cs="Arial"/>
                <w:i/>
                <w:sz w:val="22"/>
              </w:rPr>
              <w:t>Cottus</w:t>
            </w:r>
            <w:proofErr w:type="spellEnd"/>
            <w:r>
              <w:rPr>
                <w:rFonts w:ascii="Arial" w:eastAsia="Arial" w:hAnsi="Arial" w:cs="Arial"/>
                <w:i/>
                <w:sz w:val="22"/>
              </w:rPr>
              <w:t xml:space="preserve"> gobio</w:t>
            </w:r>
            <w:r>
              <w:rPr>
                <w:rFonts w:ascii="Arial" w:eastAsia="Arial" w:hAnsi="Arial" w:cs="Arial"/>
                <w:sz w:val="22"/>
              </w:rPr>
              <w:t xml:space="preserve"> </w:t>
            </w:r>
          </w:p>
          <w:p w14:paraId="706D9617" w14:textId="77777777" w:rsidR="00286E1B" w:rsidRDefault="001568E1">
            <w:pPr>
              <w:ind w:left="1"/>
            </w:pPr>
            <w:r>
              <w:rPr>
                <w:rFonts w:ascii="Arial" w:eastAsia="Arial" w:hAnsi="Arial" w:cs="Arial"/>
                <w:sz w:val="22"/>
              </w:rPr>
              <w:t xml:space="preserve"> </w:t>
            </w:r>
          </w:p>
          <w:p w14:paraId="3723F31B" w14:textId="77777777" w:rsidR="00286E1B" w:rsidRDefault="001568E1">
            <w:pPr>
              <w:ind w:left="1"/>
            </w:pPr>
            <w:r>
              <w:rPr>
                <w:rFonts w:ascii="Arial" w:eastAsia="Arial" w:hAnsi="Arial" w:cs="Arial"/>
                <w:sz w:val="22"/>
              </w:rPr>
              <w:t xml:space="preserve">The Conservation objectives of the River Axe SAC are: </w:t>
            </w:r>
          </w:p>
          <w:p w14:paraId="79322B4C" w14:textId="77777777" w:rsidR="00286E1B" w:rsidRDefault="001568E1">
            <w:pPr>
              <w:ind w:left="1"/>
            </w:pPr>
            <w:r>
              <w:rPr>
                <w:rFonts w:ascii="Arial" w:eastAsia="Arial" w:hAnsi="Arial" w:cs="Arial"/>
                <w:sz w:val="22"/>
              </w:rPr>
              <w:t xml:space="preserve"> </w:t>
            </w:r>
          </w:p>
          <w:p w14:paraId="14B3F04F" w14:textId="77777777" w:rsidR="00286E1B" w:rsidRDefault="001568E1">
            <w:pPr>
              <w:spacing w:after="2" w:line="239" w:lineRule="auto"/>
              <w:ind w:left="1"/>
            </w:pPr>
            <w:r>
              <w:rPr>
                <w:rFonts w:ascii="Arial" w:eastAsia="Arial" w:hAnsi="Arial" w:cs="Arial"/>
                <w:sz w:val="22"/>
              </w:rPr>
              <w:t xml:space="preserve">Ensure that the integrity of the site is maintained or restored as appropriate, and ensure that the site contributes to achieving the Favourable Conservation Status of its </w:t>
            </w:r>
          </w:p>
          <w:p w14:paraId="5616B72D" w14:textId="77777777" w:rsidR="00286E1B" w:rsidRDefault="001568E1">
            <w:pPr>
              <w:ind w:left="1"/>
            </w:pPr>
            <w:r>
              <w:rPr>
                <w:rFonts w:ascii="Arial" w:eastAsia="Arial" w:hAnsi="Arial" w:cs="Arial"/>
                <w:sz w:val="22"/>
              </w:rPr>
              <w:t xml:space="preserve">Qualifying Features, by maintaining or restoring; </w:t>
            </w:r>
          </w:p>
          <w:p w14:paraId="407E2731" w14:textId="77777777" w:rsidR="00286E1B" w:rsidRDefault="001568E1">
            <w:pPr>
              <w:numPr>
                <w:ilvl w:val="0"/>
                <w:numId w:val="2"/>
              </w:numPr>
              <w:spacing w:after="10" w:line="245" w:lineRule="auto"/>
              <w:ind w:hanging="360"/>
            </w:pPr>
            <w:r>
              <w:rPr>
                <w:rFonts w:ascii="Arial" w:eastAsia="Arial" w:hAnsi="Arial" w:cs="Arial"/>
                <w:sz w:val="22"/>
              </w:rPr>
              <w:t xml:space="preserve">The extent and distribution of qualifying natural habitats and habitats of qualifying species </w:t>
            </w:r>
          </w:p>
          <w:p w14:paraId="42B26794" w14:textId="77777777" w:rsidR="00286E1B" w:rsidRDefault="001568E1">
            <w:pPr>
              <w:numPr>
                <w:ilvl w:val="0"/>
                <w:numId w:val="2"/>
              </w:numPr>
              <w:spacing w:after="10" w:line="245" w:lineRule="auto"/>
              <w:ind w:hanging="360"/>
            </w:pPr>
            <w:r>
              <w:rPr>
                <w:rFonts w:ascii="Arial" w:eastAsia="Arial" w:hAnsi="Arial" w:cs="Arial"/>
                <w:sz w:val="22"/>
              </w:rPr>
              <w:t xml:space="preserve">The structure and function (including typical species) of qualifying natural habitats </w:t>
            </w:r>
          </w:p>
          <w:p w14:paraId="513C7E5E" w14:textId="77777777" w:rsidR="00286E1B" w:rsidRDefault="001568E1">
            <w:pPr>
              <w:numPr>
                <w:ilvl w:val="0"/>
                <w:numId w:val="2"/>
              </w:numPr>
              <w:ind w:hanging="360"/>
            </w:pPr>
            <w:r>
              <w:rPr>
                <w:rFonts w:ascii="Arial" w:eastAsia="Arial" w:hAnsi="Arial" w:cs="Arial"/>
                <w:sz w:val="22"/>
              </w:rPr>
              <w:t xml:space="preserve">The structure and function of the habitats of qualifying species </w:t>
            </w:r>
          </w:p>
          <w:p w14:paraId="18C8C1AE" w14:textId="77777777" w:rsidR="00286E1B" w:rsidRDefault="001568E1">
            <w:pPr>
              <w:numPr>
                <w:ilvl w:val="0"/>
                <w:numId w:val="2"/>
              </w:numPr>
              <w:spacing w:after="11" w:line="245" w:lineRule="auto"/>
              <w:ind w:hanging="360"/>
            </w:pPr>
            <w:r>
              <w:rPr>
                <w:rFonts w:ascii="Arial" w:eastAsia="Arial" w:hAnsi="Arial" w:cs="Arial"/>
                <w:sz w:val="22"/>
              </w:rPr>
              <w:t xml:space="preserve">The supporting processes on which qualifying natural habitats and the habitats of qualifying species rely </w:t>
            </w:r>
          </w:p>
          <w:p w14:paraId="68BAE868" w14:textId="77777777" w:rsidR="00286E1B" w:rsidRDefault="001568E1">
            <w:pPr>
              <w:numPr>
                <w:ilvl w:val="0"/>
                <w:numId w:val="2"/>
              </w:numPr>
              <w:ind w:hanging="360"/>
            </w:pPr>
            <w:r>
              <w:rPr>
                <w:rFonts w:ascii="Arial" w:eastAsia="Arial" w:hAnsi="Arial" w:cs="Arial"/>
                <w:sz w:val="22"/>
              </w:rPr>
              <w:t xml:space="preserve">The populations of qualifying species, and, </w:t>
            </w:r>
          </w:p>
          <w:p w14:paraId="6572C076" w14:textId="77777777" w:rsidR="00286E1B" w:rsidRDefault="001568E1">
            <w:pPr>
              <w:numPr>
                <w:ilvl w:val="0"/>
                <w:numId w:val="2"/>
              </w:numPr>
              <w:ind w:hanging="360"/>
            </w:pPr>
            <w:r>
              <w:rPr>
                <w:rFonts w:ascii="Arial" w:eastAsia="Arial" w:hAnsi="Arial" w:cs="Arial"/>
                <w:sz w:val="22"/>
              </w:rPr>
              <w:t xml:space="preserve">The distribution of qualifying species within the site. </w:t>
            </w:r>
          </w:p>
          <w:p w14:paraId="7E4E512B" w14:textId="77777777" w:rsidR="00286E1B" w:rsidRDefault="001568E1">
            <w:pPr>
              <w:spacing w:after="8"/>
              <w:ind w:left="1"/>
            </w:pPr>
            <w:r>
              <w:rPr>
                <w:rFonts w:ascii="Arial" w:eastAsia="Arial" w:hAnsi="Arial" w:cs="Arial"/>
                <w:sz w:val="22"/>
              </w:rPr>
              <w:t xml:space="preserve"> </w:t>
            </w:r>
          </w:p>
          <w:p w14:paraId="1D8CEAD0" w14:textId="77777777" w:rsidR="00286E1B" w:rsidRDefault="001568E1">
            <w:pPr>
              <w:spacing w:line="245" w:lineRule="auto"/>
              <w:ind w:left="1"/>
            </w:pPr>
            <w:r>
              <w:rPr>
                <w:rFonts w:ascii="Arial" w:eastAsia="Arial" w:hAnsi="Arial" w:cs="Arial"/>
                <w:sz w:val="22"/>
              </w:rPr>
              <w:t xml:space="preserve">The Conservation Objectives for the River Axe SAC state that ‘the natural nutrient regime of the river should be protected, with any anthropogenic enrichment above natural/background concentrations should be limited to levels at which adverse effects on characteristic biodiversity are unlikely’. </w:t>
            </w:r>
          </w:p>
          <w:p w14:paraId="510CB3B5" w14:textId="595EF1E3" w:rsidR="00286E1B" w:rsidRDefault="00286E1B" w:rsidP="009A4886">
            <w:pPr>
              <w:ind w:left="1"/>
            </w:pPr>
          </w:p>
        </w:tc>
      </w:tr>
    </w:tbl>
    <w:p w14:paraId="771AC042" w14:textId="77777777" w:rsidR="00286E1B" w:rsidRDefault="00286E1B">
      <w:pPr>
        <w:ind w:left="-720" w:right="8355"/>
      </w:pPr>
    </w:p>
    <w:tbl>
      <w:tblPr>
        <w:tblStyle w:val="TableGrid"/>
        <w:tblW w:w="10466" w:type="dxa"/>
        <w:tblInd w:w="0" w:type="dxa"/>
        <w:tblCellMar>
          <w:top w:w="11" w:type="dxa"/>
          <w:left w:w="107" w:type="dxa"/>
          <w:right w:w="50" w:type="dxa"/>
        </w:tblCellMar>
        <w:tblLook w:val="04A0" w:firstRow="1" w:lastRow="0" w:firstColumn="1" w:lastColumn="0" w:noHBand="0" w:noVBand="1"/>
      </w:tblPr>
      <w:tblGrid>
        <w:gridCol w:w="1702"/>
        <w:gridCol w:w="8764"/>
      </w:tblGrid>
      <w:tr w:rsidR="00286E1B" w14:paraId="60899248" w14:textId="77777777" w:rsidTr="00763731">
        <w:trPr>
          <w:trHeight w:val="2585"/>
        </w:trPr>
        <w:tc>
          <w:tcPr>
            <w:tcW w:w="1702" w:type="dxa"/>
            <w:tcBorders>
              <w:top w:val="single" w:sz="4" w:space="0" w:color="000000"/>
              <w:left w:val="single" w:sz="4" w:space="0" w:color="000000"/>
              <w:bottom w:val="single" w:sz="4" w:space="0" w:color="000000"/>
              <w:right w:val="single" w:sz="4" w:space="0" w:color="000000"/>
            </w:tcBorders>
          </w:tcPr>
          <w:p w14:paraId="6F47AB39" w14:textId="77777777" w:rsidR="00286E1B" w:rsidRDefault="001568E1">
            <w:pPr>
              <w:ind w:left="1"/>
            </w:pPr>
            <w:r>
              <w:rPr>
                <w:rFonts w:ascii="Arial" w:eastAsia="Arial" w:hAnsi="Arial" w:cs="Arial"/>
                <w:sz w:val="22"/>
              </w:rPr>
              <w:t xml:space="preserve">7. Ecological survey results for the application site </w:t>
            </w:r>
          </w:p>
        </w:tc>
        <w:tc>
          <w:tcPr>
            <w:tcW w:w="8764" w:type="dxa"/>
            <w:tcBorders>
              <w:top w:val="single" w:sz="4" w:space="0" w:color="000000"/>
              <w:left w:val="single" w:sz="4" w:space="0" w:color="000000"/>
              <w:bottom w:val="single" w:sz="4" w:space="0" w:color="000000"/>
              <w:right w:val="single" w:sz="4" w:space="0" w:color="000000"/>
            </w:tcBorders>
          </w:tcPr>
          <w:p w14:paraId="7B85EBD4" w14:textId="63474EEF" w:rsidR="00286E1B" w:rsidRDefault="00286E1B">
            <w:pPr>
              <w:spacing w:after="8"/>
            </w:pPr>
          </w:p>
          <w:p w14:paraId="5BB52F3B" w14:textId="77777777" w:rsidR="00286E1B" w:rsidRDefault="001568E1">
            <w:pPr>
              <w:ind w:left="1"/>
            </w:pPr>
            <w:r>
              <w:rPr>
                <w:rFonts w:ascii="Arial" w:eastAsia="Arial" w:hAnsi="Arial" w:cs="Arial"/>
                <w:sz w:val="20"/>
              </w:rPr>
              <w:t xml:space="preserve"> </w:t>
            </w:r>
          </w:p>
          <w:p w14:paraId="50E1D727" w14:textId="77777777" w:rsidR="00286E1B" w:rsidRDefault="001568E1">
            <w:pPr>
              <w:spacing w:after="2"/>
              <w:ind w:left="1"/>
            </w:pPr>
            <w:r>
              <w:rPr>
                <w:rFonts w:ascii="Arial" w:eastAsia="Arial" w:hAnsi="Arial" w:cs="Arial"/>
                <w:sz w:val="20"/>
              </w:rPr>
              <w:t xml:space="preserve"> </w:t>
            </w:r>
          </w:p>
          <w:p w14:paraId="26539193" w14:textId="77777777" w:rsidR="006A38E9" w:rsidRDefault="001568E1" w:rsidP="006A38E9">
            <w:pPr>
              <w:ind w:left="1"/>
            </w:pPr>
            <w:r>
              <w:rPr>
                <w:rFonts w:ascii="Arial" w:eastAsia="Arial" w:hAnsi="Arial" w:cs="Arial"/>
                <w:sz w:val="22"/>
              </w:rPr>
              <w:t xml:space="preserve"> </w:t>
            </w:r>
            <w:r w:rsidR="006A38E9" w:rsidRPr="00763731">
              <w:rPr>
                <w:rFonts w:ascii="Arial" w:eastAsia="Arial" w:hAnsi="Arial" w:cs="Arial"/>
                <w:color w:val="FF0000"/>
                <w:sz w:val="22"/>
              </w:rPr>
              <w:t>TO COMPLETE</w:t>
            </w:r>
          </w:p>
          <w:p w14:paraId="0307E284" w14:textId="6F048240" w:rsidR="00286E1B" w:rsidRDefault="00286E1B">
            <w:pPr>
              <w:ind w:left="1"/>
            </w:pPr>
          </w:p>
        </w:tc>
      </w:tr>
    </w:tbl>
    <w:p w14:paraId="18BDB412" w14:textId="77777777" w:rsidR="00286E1B" w:rsidRDefault="00286E1B">
      <w:pPr>
        <w:ind w:left="-720" w:right="8355"/>
      </w:pPr>
    </w:p>
    <w:tbl>
      <w:tblPr>
        <w:tblStyle w:val="TableGrid"/>
        <w:tblW w:w="10200" w:type="dxa"/>
        <w:tblInd w:w="1" w:type="dxa"/>
        <w:tblCellMar>
          <w:top w:w="10" w:type="dxa"/>
          <w:left w:w="107" w:type="dxa"/>
        </w:tblCellMar>
        <w:tblLook w:val="04A0" w:firstRow="1" w:lastRow="0" w:firstColumn="1" w:lastColumn="0" w:noHBand="0" w:noVBand="1"/>
      </w:tblPr>
      <w:tblGrid>
        <w:gridCol w:w="1701"/>
        <w:gridCol w:w="8499"/>
      </w:tblGrid>
      <w:tr w:rsidR="00286E1B" w14:paraId="00326689" w14:textId="77777777" w:rsidTr="00763731">
        <w:trPr>
          <w:trHeight w:val="262"/>
        </w:trPr>
        <w:tc>
          <w:tcPr>
            <w:tcW w:w="10200" w:type="dxa"/>
            <w:gridSpan w:val="2"/>
            <w:tcBorders>
              <w:top w:val="single" w:sz="4" w:space="0" w:color="000000"/>
              <w:left w:val="single" w:sz="4" w:space="0" w:color="000000"/>
              <w:bottom w:val="single" w:sz="4" w:space="0" w:color="000000"/>
              <w:right w:val="single" w:sz="4" w:space="0" w:color="000000"/>
            </w:tcBorders>
            <w:shd w:val="clear" w:color="auto" w:fill="EAF1DD"/>
          </w:tcPr>
          <w:p w14:paraId="40B1CDD6" w14:textId="77777777" w:rsidR="00286E1B" w:rsidRDefault="001568E1">
            <w:r>
              <w:rPr>
                <w:rFonts w:ascii="Arial" w:eastAsia="Arial" w:hAnsi="Arial" w:cs="Arial"/>
                <w:b/>
                <w:sz w:val="22"/>
              </w:rPr>
              <w:t xml:space="preserve">Part C: Screening assessment for likely significant effect </w:t>
            </w:r>
          </w:p>
        </w:tc>
      </w:tr>
      <w:tr w:rsidR="00286E1B" w14:paraId="191BE95F" w14:textId="77777777" w:rsidTr="00763731">
        <w:trPr>
          <w:trHeight w:val="3751"/>
        </w:trPr>
        <w:tc>
          <w:tcPr>
            <w:tcW w:w="1701" w:type="dxa"/>
            <w:tcBorders>
              <w:top w:val="single" w:sz="4" w:space="0" w:color="000000"/>
              <w:left w:val="single" w:sz="4" w:space="0" w:color="000000"/>
              <w:bottom w:val="single" w:sz="4" w:space="0" w:color="000000"/>
              <w:right w:val="single" w:sz="4" w:space="0" w:color="000000"/>
            </w:tcBorders>
          </w:tcPr>
          <w:p w14:paraId="28943671" w14:textId="77777777" w:rsidR="00286E1B" w:rsidRDefault="001568E1">
            <w:r>
              <w:rPr>
                <w:rFonts w:ascii="Arial" w:eastAsia="Arial" w:hAnsi="Arial" w:cs="Arial"/>
                <w:sz w:val="22"/>
              </w:rPr>
              <w:t xml:space="preserve">8. Is this application necessary to </w:t>
            </w:r>
          </w:p>
          <w:p w14:paraId="58F94805" w14:textId="77777777" w:rsidR="00286E1B" w:rsidRDefault="001568E1">
            <w:r>
              <w:rPr>
                <w:rFonts w:ascii="Arial" w:eastAsia="Arial" w:hAnsi="Arial" w:cs="Arial"/>
                <w:sz w:val="22"/>
              </w:rPr>
              <w:t xml:space="preserve">the </w:t>
            </w:r>
          </w:p>
          <w:p w14:paraId="6E4CCE2A" w14:textId="77777777" w:rsidR="00286E1B" w:rsidRDefault="001568E1">
            <w:r>
              <w:rPr>
                <w:rFonts w:ascii="Arial" w:eastAsia="Arial" w:hAnsi="Arial" w:cs="Arial"/>
                <w:sz w:val="22"/>
              </w:rPr>
              <w:t xml:space="preserve">management </w:t>
            </w:r>
          </w:p>
          <w:p w14:paraId="138E261C" w14:textId="77777777" w:rsidR="00286E1B" w:rsidRDefault="001568E1">
            <w:pPr>
              <w:spacing w:line="239" w:lineRule="auto"/>
            </w:pPr>
            <w:r>
              <w:rPr>
                <w:rFonts w:ascii="Arial" w:eastAsia="Arial" w:hAnsi="Arial" w:cs="Arial"/>
                <w:sz w:val="22"/>
              </w:rPr>
              <w:t xml:space="preserve">of the site for nature conservation? </w:t>
            </w:r>
          </w:p>
          <w:p w14:paraId="4F58B598" w14:textId="77777777" w:rsidR="00286E1B" w:rsidRDefault="001568E1">
            <w:r>
              <w:rPr>
                <w:rFonts w:ascii="Arial" w:eastAsia="Arial" w:hAnsi="Arial" w:cs="Arial"/>
                <w:sz w:val="22"/>
              </w:rPr>
              <w:t xml:space="preserve"> </w:t>
            </w:r>
          </w:p>
        </w:tc>
        <w:tc>
          <w:tcPr>
            <w:tcW w:w="8499" w:type="dxa"/>
            <w:tcBorders>
              <w:top w:val="single" w:sz="4" w:space="0" w:color="000000"/>
              <w:left w:val="single" w:sz="4" w:space="0" w:color="000000"/>
              <w:bottom w:val="single" w:sz="4" w:space="0" w:color="000000"/>
              <w:right w:val="single" w:sz="4" w:space="0" w:color="000000"/>
            </w:tcBorders>
          </w:tcPr>
          <w:p w14:paraId="043845AF" w14:textId="77777777" w:rsidR="006A38E9" w:rsidRDefault="006A38E9" w:rsidP="006A38E9">
            <w:pPr>
              <w:ind w:left="1"/>
              <w:rPr>
                <w:rFonts w:ascii="Arial" w:eastAsia="Arial" w:hAnsi="Arial" w:cs="Arial"/>
                <w:color w:val="FF0000"/>
                <w:sz w:val="22"/>
              </w:rPr>
            </w:pPr>
          </w:p>
          <w:p w14:paraId="30418B4C" w14:textId="5D89A2D2" w:rsidR="006A38E9" w:rsidRDefault="006A38E9" w:rsidP="006A38E9">
            <w:pPr>
              <w:ind w:left="1"/>
            </w:pPr>
            <w:r w:rsidRPr="00763731">
              <w:rPr>
                <w:rFonts w:ascii="Arial" w:eastAsia="Arial" w:hAnsi="Arial" w:cs="Arial"/>
                <w:color w:val="FF0000"/>
                <w:sz w:val="22"/>
              </w:rPr>
              <w:t>TO COMPLETE</w:t>
            </w:r>
          </w:p>
          <w:p w14:paraId="193B759E" w14:textId="41AC022A" w:rsidR="00286E1B" w:rsidRDefault="00286E1B">
            <w:pPr>
              <w:ind w:left="1"/>
            </w:pPr>
          </w:p>
        </w:tc>
      </w:tr>
      <w:tr w:rsidR="00286E1B" w14:paraId="0874DC88" w14:textId="77777777" w:rsidTr="00763731">
        <w:trPr>
          <w:trHeight w:val="5578"/>
        </w:trPr>
        <w:tc>
          <w:tcPr>
            <w:tcW w:w="1701" w:type="dxa"/>
            <w:tcBorders>
              <w:top w:val="single" w:sz="4" w:space="0" w:color="000000"/>
              <w:left w:val="single" w:sz="4" w:space="0" w:color="000000"/>
              <w:bottom w:val="single" w:sz="4" w:space="0" w:color="000000"/>
              <w:right w:val="single" w:sz="4" w:space="0" w:color="000000"/>
            </w:tcBorders>
          </w:tcPr>
          <w:p w14:paraId="5ED4931D" w14:textId="77777777" w:rsidR="00286E1B" w:rsidRDefault="001568E1">
            <w:pPr>
              <w:spacing w:line="239" w:lineRule="auto"/>
              <w:ind w:right="28"/>
            </w:pPr>
            <w:r>
              <w:rPr>
                <w:rFonts w:ascii="Arial" w:eastAsia="Arial" w:hAnsi="Arial" w:cs="Arial"/>
                <w:sz w:val="22"/>
              </w:rPr>
              <w:lastRenderedPageBreak/>
              <w:t xml:space="preserve">9. The identified ways in which the Qualifying </w:t>
            </w:r>
          </w:p>
          <w:p w14:paraId="1C1CA2D1" w14:textId="77777777" w:rsidR="00286E1B" w:rsidRDefault="001568E1">
            <w:r>
              <w:rPr>
                <w:rFonts w:ascii="Arial" w:eastAsia="Arial" w:hAnsi="Arial" w:cs="Arial"/>
                <w:sz w:val="22"/>
              </w:rPr>
              <w:t xml:space="preserve">Features of the European site could be affected by the proposal  </w:t>
            </w:r>
          </w:p>
        </w:tc>
        <w:tc>
          <w:tcPr>
            <w:tcW w:w="8499" w:type="dxa"/>
            <w:tcBorders>
              <w:top w:val="single" w:sz="4" w:space="0" w:color="000000"/>
              <w:left w:val="single" w:sz="4" w:space="0" w:color="000000"/>
              <w:bottom w:val="single" w:sz="4" w:space="0" w:color="000000"/>
              <w:right w:val="single" w:sz="4" w:space="0" w:color="000000"/>
            </w:tcBorders>
          </w:tcPr>
          <w:p w14:paraId="119EF941" w14:textId="77777777" w:rsidR="00286E1B" w:rsidRPr="006A38E9" w:rsidRDefault="001568E1">
            <w:pPr>
              <w:spacing w:line="238" w:lineRule="auto"/>
              <w:ind w:left="1"/>
              <w:rPr>
                <w:color w:val="auto"/>
              </w:rPr>
            </w:pPr>
            <w:r w:rsidRPr="006A38E9">
              <w:rPr>
                <w:rFonts w:ascii="Arial" w:eastAsia="Arial" w:hAnsi="Arial" w:cs="Arial"/>
                <w:b/>
                <w:color w:val="auto"/>
                <w:sz w:val="22"/>
              </w:rPr>
              <w:t xml:space="preserve">Degradation or changes to water quality resulting from increased nutrients entering watercourses which are hydrologically linked to the SAC </w:t>
            </w:r>
          </w:p>
          <w:p w14:paraId="1ACCF77A" w14:textId="77777777" w:rsidR="00286E1B" w:rsidRPr="006A38E9" w:rsidRDefault="001568E1">
            <w:pPr>
              <w:ind w:left="1"/>
              <w:rPr>
                <w:color w:val="auto"/>
              </w:rPr>
            </w:pPr>
            <w:r w:rsidRPr="006A38E9">
              <w:rPr>
                <w:rFonts w:ascii="Arial" w:eastAsia="Arial" w:hAnsi="Arial" w:cs="Arial"/>
                <w:b/>
                <w:color w:val="auto"/>
                <w:sz w:val="22"/>
              </w:rPr>
              <w:t xml:space="preserve"> </w:t>
            </w:r>
          </w:p>
          <w:p w14:paraId="443EB406" w14:textId="77777777" w:rsidR="00286E1B" w:rsidRPr="006A38E9" w:rsidRDefault="001568E1">
            <w:pPr>
              <w:spacing w:after="2" w:line="239" w:lineRule="auto"/>
              <w:ind w:left="1" w:right="26"/>
              <w:rPr>
                <w:color w:val="auto"/>
              </w:rPr>
            </w:pPr>
            <w:r w:rsidRPr="006A38E9">
              <w:rPr>
                <w:rFonts w:ascii="Arial" w:eastAsia="Arial" w:hAnsi="Arial" w:cs="Arial"/>
                <w:color w:val="auto"/>
                <w:sz w:val="22"/>
              </w:rPr>
              <w:t xml:space="preserve">The occurrence of excessive nutrients in the waterbody can impact on the competitive interactions between high plant species and between higher plant species and algae, which can result in a dominance in attached forms of algae, and a loss of characteristic plant species. Changes in plant growth and community composition can have implications for the wider food web, and the species present. Increased nutrients and the occurrence of eutrophication can also impact on the dissolved oxygen levels in the waterbody, also impacting on biota within the river. </w:t>
            </w:r>
          </w:p>
          <w:p w14:paraId="348D2691" w14:textId="77777777" w:rsidR="00286E1B" w:rsidRPr="006A38E9" w:rsidRDefault="001568E1">
            <w:pPr>
              <w:ind w:left="1"/>
              <w:rPr>
                <w:color w:val="auto"/>
              </w:rPr>
            </w:pPr>
            <w:r w:rsidRPr="006A38E9">
              <w:rPr>
                <w:rFonts w:ascii="Arial" w:eastAsia="Arial" w:hAnsi="Arial" w:cs="Arial"/>
                <w:color w:val="auto"/>
                <w:sz w:val="22"/>
              </w:rPr>
              <w:t xml:space="preserve"> </w:t>
            </w:r>
          </w:p>
          <w:p w14:paraId="260D6118" w14:textId="77777777" w:rsidR="00286E1B" w:rsidRPr="006A38E9" w:rsidRDefault="001568E1">
            <w:pPr>
              <w:spacing w:after="1" w:line="239" w:lineRule="auto"/>
              <w:ind w:left="1" w:right="8"/>
              <w:rPr>
                <w:color w:val="auto"/>
              </w:rPr>
            </w:pPr>
            <w:r w:rsidRPr="006A38E9">
              <w:rPr>
                <w:rFonts w:ascii="Arial" w:eastAsia="Arial" w:hAnsi="Arial" w:cs="Arial"/>
                <w:color w:val="auto"/>
                <w:sz w:val="22"/>
              </w:rPr>
              <w:t xml:space="preserve">Recent water quality measurements for the River Axe within the SAC show phosphorus concentrations to be exceeding the targets for all units. Any nutrients entering the catchment upstream of the locations which are exceeding their nutrient targets, will make their way downstream and have the potential to further add to the current exceedance. Hence the catchment map for the River Axe includes the entire catchment upstream. </w:t>
            </w:r>
          </w:p>
          <w:p w14:paraId="6A529614" w14:textId="77777777" w:rsidR="00286E1B" w:rsidRPr="006A38E9" w:rsidRDefault="001568E1">
            <w:pPr>
              <w:ind w:left="721"/>
              <w:rPr>
                <w:color w:val="auto"/>
              </w:rPr>
            </w:pPr>
            <w:r w:rsidRPr="006A38E9">
              <w:rPr>
                <w:rFonts w:ascii="Arial" w:eastAsia="Arial" w:hAnsi="Arial" w:cs="Arial"/>
                <w:color w:val="auto"/>
                <w:sz w:val="22"/>
              </w:rPr>
              <w:t xml:space="preserve"> </w:t>
            </w:r>
          </w:p>
          <w:p w14:paraId="7D547E97" w14:textId="77777777" w:rsidR="00286E1B" w:rsidRPr="006A38E9" w:rsidRDefault="001568E1">
            <w:pPr>
              <w:spacing w:line="239" w:lineRule="auto"/>
              <w:ind w:left="1" w:right="104"/>
              <w:jc w:val="both"/>
              <w:rPr>
                <w:color w:val="auto"/>
              </w:rPr>
            </w:pPr>
            <w:r w:rsidRPr="006A38E9">
              <w:rPr>
                <w:rFonts w:ascii="Arial" w:eastAsia="Arial" w:hAnsi="Arial" w:cs="Arial"/>
                <w:color w:val="auto"/>
                <w:sz w:val="22"/>
              </w:rPr>
              <w:t xml:space="preserve">The key sources of phosphorous, commonly assessed in the form of phosphates, derive from diffuse water pollution (such as agricultural leaching) and point discharges (such as from sewage effluent) within the catchment. </w:t>
            </w:r>
          </w:p>
          <w:p w14:paraId="2D895454" w14:textId="77777777" w:rsidR="00286E1B" w:rsidRDefault="001568E1">
            <w:pPr>
              <w:ind w:left="1"/>
            </w:pPr>
            <w:r w:rsidRPr="00763731">
              <w:rPr>
                <w:rFonts w:ascii="Arial" w:eastAsia="Arial" w:hAnsi="Arial" w:cs="Arial"/>
                <w:color w:val="FF0000"/>
                <w:sz w:val="22"/>
              </w:rPr>
              <w:t xml:space="preserve"> </w:t>
            </w:r>
          </w:p>
        </w:tc>
      </w:tr>
      <w:tr w:rsidR="00286E1B" w14:paraId="7ED9E1AC" w14:textId="77777777" w:rsidTr="00763731">
        <w:trPr>
          <w:trHeight w:val="5576"/>
        </w:trPr>
        <w:tc>
          <w:tcPr>
            <w:tcW w:w="1701" w:type="dxa"/>
            <w:tcBorders>
              <w:top w:val="single" w:sz="4" w:space="0" w:color="000000"/>
              <w:left w:val="single" w:sz="4" w:space="0" w:color="000000"/>
              <w:bottom w:val="single" w:sz="4" w:space="0" w:color="000000"/>
              <w:right w:val="single" w:sz="4" w:space="0" w:color="000000"/>
            </w:tcBorders>
          </w:tcPr>
          <w:p w14:paraId="063D01DC" w14:textId="77777777" w:rsidR="00286E1B" w:rsidRDefault="001568E1">
            <w:r>
              <w:rPr>
                <w:rFonts w:ascii="Arial" w:eastAsia="Arial" w:hAnsi="Arial" w:cs="Arial"/>
                <w:sz w:val="22"/>
              </w:rPr>
              <w:t xml:space="preserve">10. </w:t>
            </w:r>
          </w:p>
          <w:p w14:paraId="6D7D0E17" w14:textId="77777777" w:rsidR="00286E1B" w:rsidRDefault="001568E1">
            <w:r>
              <w:rPr>
                <w:rFonts w:ascii="Arial" w:eastAsia="Arial" w:hAnsi="Arial" w:cs="Arial"/>
                <w:sz w:val="22"/>
              </w:rPr>
              <w:t xml:space="preserve">Assessment of risks without avoidance or reduction measures </w:t>
            </w:r>
          </w:p>
        </w:tc>
        <w:tc>
          <w:tcPr>
            <w:tcW w:w="8499" w:type="dxa"/>
            <w:tcBorders>
              <w:top w:val="single" w:sz="4" w:space="0" w:color="000000"/>
              <w:left w:val="single" w:sz="4" w:space="0" w:color="000000"/>
              <w:bottom w:val="single" w:sz="4" w:space="0" w:color="000000"/>
              <w:right w:val="single" w:sz="4" w:space="0" w:color="000000"/>
            </w:tcBorders>
          </w:tcPr>
          <w:p w14:paraId="001D4B2E" w14:textId="5EF50373" w:rsidR="00286E1B" w:rsidRPr="00763731" w:rsidRDefault="00763731">
            <w:pPr>
              <w:ind w:left="1"/>
              <w:rPr>
                <w:rFonts w:ascii="Arial" w:hAnsi="Arial" w:cs="Arial"/>
                <w:sz w:val="22"/>
              </w:rPr>
            </w:pPr>
            <w:r w:rsidRPr="00763731">
              <w:rPr>
                <w:rFonts w:ascii="Arial" w:hAnsi="Arial" w:cs="Arial"/>
                <w:color w:val="FF0000"/>
                <w:sz w:val="22"/>
              </w:rPr>
              <w:t>TO COMPLETE</w:t>
            </w:r>
          </w:p>
        </w:tc>
      </w:tr>
      <w:tr w:rsidR="00286E1B" w14:paraId="4AD82A59" w14:textId="77777777" w:rsidTr="00763731">
        <w:trPr>
          <w:trHeight w:val="1781"/>
        </w:trPr>
        <w:tc>
          <w:tcPr>
            <w:tcW w:w="1701" w:type="dxa"/>
            <w:tcBorders>
              <w:top w:val="single" w:sz="4" w:space="0" w:color="000000"/>
              <w:left w:val="single" w:sz="4" w:space="0" w:color="000000"/>
              <w:bottom w:val="single" w:sz="4" w:space="0" w:color="000000"/>
              <w:right w:val="single" w:sz="4" w:space="0" w:color="000000"/>
            </w:tcBorders>
          </w:tcPr>
          <w:p w14:paraId="07B38C02" w14:textId="77777777" w:rsidR="00286E1B" w:rsidRDefault="00286E1B">
            <w:pPr>
              <w:spacing w:after="160"/>
            </w:pPr>
          </w:p>
        </w:tc>
        <w:tc>
          <w:tcPr>
            <w:tcW w:w="8499" w:type="dxa"/>
            <w:tcBorders>
              <w:top w:val="single" w:sz="4" w:space="0" w:color="000000"/>
              <w:left w:val="single" w:sz="4" w:space="0" w:color="000000"/>
              <w:bottom w:val="single" w:sz="4" w:space="0" w:color="000000"/>
              <w:right w:val="single" w:sz="4" w:space="0" w:color="000000"/>
            </w:tcBorders>
          </w:tcPr>
          <w:p w14:paraId="6CFFB318" w14:textId="526CA660" w:rsidR="00286E1B" w:rsidRDefault="00286E1B">
            <w:pPr>
              <w:ind w:left="1"/>
            </w:pPr>
          </w:p>
          <w:p w14:paraId="28867F8E" w14:textId="77777777" w:rsidR="00286E1B" w:rsidRDefault="001568E1">
            <w:pPr>
              <w:ind w:left="1"/>
            </w:pPr>
            <w:r>
              <w:rPr>
                <w:rFonts w:ascii="Arial" w:eastAsia="Arial" w:hAnsi="Arial" w:cs="Arial"/>
                <w:sz w:val="22"/>
              </w:rPr>
              <w:t xml:space="preserve"> </w:t>
            </w:r>
          </w:p>
        </w:tc>
      </w:tr>
      <w:tr w:rsidR="00286E1B" w14:paraId="296B8B7F" w14:textId="77777777" w:rsidTr="00763731">
        <w:trPr>
          <w:trHeight w:val="2795"/>
        </w:trPr>
        <w:tc>
          <w:tcPr>
            <w:tcW w:w="1701" w:type="dxa"/>
            <w:tcBorders>
              <w:top w:val="single" w:sz="4" w:space="0" w:color="000000"/>
              <w:left w:val="single" w:sz="4" w:space="0" w:color="000000"/>
              <w:bottom w:val="single" w:sz="4" w:space="0" w:color="000000"/>
              <w:right w:val="single" w:sz="4" w:space="0" w:color="000000"/>
            </w:tcBorders>
          </w:tcPr>
          <w:p w14:paraId="61DD8846" w14:textId="77777777" w:rsidR="00286E1B" w:rsidRDefault="001568E1">
            <w:pPr>
              <w:spacing w:line="239" w:lineRule="auto"/>
              <w:ind w:right="56"/>
            </w:pPr>
            <w:r>
              <w:rPr>
                <w:rFonts w:ascii="Arial" w:eastAsia="Arial" w:hAnsi="Arial" w:cs="Arial"/>
                <w:sz w:val="22"/>
              </w:rPr>
              <w:lastRenderedPageBreak/>
              <w:t xml:space="preserve">11. Conclusion of Screening stage (Is the proposal likely to have a significant effect ‘alone’ or ‘in </w:t>
            </w:r>
          </w:p>
          <w:p w14:paraId="0AC1CD82" w14:textId="77777777" w:rsidR="00286E1B" w:rsidRDefault="001568E1">
            <w:pPr>
              <w:ind w:right="7"/>
            </w:pPr>
            <w:r>
              <w:rPr>
                <w:rFonts w:ascii="Arial" w:eastAsia="Arial" w:hAnsi="Arial" w:cs="Arial"/>
                <w:sz w:val="22"/>
              </w:rPr>
              <w:t xml:space="preserve">combination’ on a European site?) </w:t>
            </w:r>
          </w:p>
        </w:tc>
        <w:tc>
          <w:tcPr>
            <w:tcW w:w="8499" w:type="dxa"/>
            <w:tcBorders>
              <w:top w:val="single" w:sz="4" w:space="0" w:color="000000"/>
              <w:left w:val="single" w:sz="4" w:space="0" w:color="000000"/>
              <w:bottom w:val="single" w:sz="4" w:space="0" w:color="000000"/>
              <w:right w:val="single" w:sz="4" w:space="0" w:color="000000"/>
            </w:tcBorders>
          </w:tcPr>
          <w:p w14:paraId="47F5B32B" w14:textId="77777777" w:rsidR="00286E1B" w:rsidRDefault="001568E1">
            <w:pPr>
              <w:ind w:left="1"/>
            </w:pPr>
            <w:r>
              <w:rPr>
                <w:rFonts w:ascii="Arial" w:eastAsia="Arial" w:hAnsi="Arial" w:cs="Arial"/>
                <w:b/>
                <w:sz w:val="22"/>
              </w:rPr>
              <w:t xml:space="preserve">Degradation or changes to water quality: </w:t>
            </w:r>
          </w:p>
          <w:p w14:paraId="37E74247" w14:textId="77777777" w:rsidR="00286E1B" w:rsidRDefault="001568E1">
            <w:pPr>
              <w:ind w:left="1"/>
            </w:pPr>
            <w:r>
              <w:rPr>
                <w:rFonts w:ascii="Arial" w:eastAsia="Arial" w:hAnsi="Arial" w:cs="Arial"/>
                <w:b/>
                <w:sz w:val="22"/>
              </w:rPr>
              <w:t xml:space="preserve"> </w:t>
            </w:r>
          </w:p>
          <w:p w14:paraId="2B9A3E74" w14:textId="77777777" w:rsidR="00763731" w:rsidRDefault="001568E1">
            <w:pPr>
              <w:ind w:left="1" w:right="58"/>
              <w:jc w:val="both"/>
              <w:rPr>
                <w:rFonts w:ascii="Arial" w:eastAsia="Arial" w:hAnsi="Arial" w:cs="Arial"/>
                <w:sz w:val="22"/>
              </w:rPr>
            </w:pPr>
            <w:r>
              <w:rPr>
                <w:rFonts w:ascii="Arial" w:eastAsia="Arial" w:hAnsi="Arial" w:cs="Arial"/>
                <w:sz w:val="22"/>
              </w:rPr>
              <w:t>The application site is located within the hydrological catchment of the River Axe SAC.</w:t>
            </w:r>
          </w:p>
          <w:p w14:paraId="4C0D972E" w14:textId="77777777" w:rsidR="00763731" w:rsidRDefault="00763731">
            <w:pPr>
              <w:ind w:left="1" w:right="58"/>
              <w:jc w:val="both"/>
              <w:rPr>
                <w:rFonts w:ascii="Arial" w:eastAsia="Arial" w:hAnsi="Arial" w:cs="Arial"/>
                <w:sz w:val="22"/>
              </w:rPr>
            </w:pPr>
          </w:p>
          <w:p w14:paraId="4AF61124" w14:textId="58E08EDF" w:rsidR="00A05B9A" w:rsidRDefault="001568E1">
            <w:pPr>
              <w:ind w:left="1" w:right="58"/>
              <w:jc w:val="both"/>
              <w:rPr>
                <w:rFonts w:ascii="Arial" w:eastAsia="Arial" w:hAnsi="Arial" w:cs="Arial"/>
                <w:sz w:val="22"/>
              </w:rPr>
            </w:pPr>
            <w:r>
              <w:rPr>
                <w:rFonts w:ascii="Arial" w:eastAsia="Arial" w:hAnsi="Arial" w:cs="Arial"/>
                <w:sz w:val="22"/>
              </w:rPr>
              <w:t xml:space="preserve"> </w:t>
            </w:r>
            <w:r w:rsidRPr="00763731">
              <w:rPr>
                <w:rFonts w:ascii="Arial" w:eastAsia="Arial" w:hAnsi="Arial" w:cs="Arial"/>
                <w:color w:val="FF0000"/>
                <w:sz w:val="22"/>
              </w:rPr>
              <w:t xml:space="preserve">The submitted Nutrient Neutrality Assessment demonstrates that </w:t>
            </w:r>
            <w:r w:rsidR="00763731" w:rsidRPr="00763731">
              <w:rPr>
                <w:rFonts w:ascii="Arial" w:eastAsia="Arial" w:hAnsi="Arial" w:cs="Arial"/>
                <w:color w:val="FF0000"/>
                <w:sz w:val="22"/>
              </w:rPr>
              <w:t>….TO COMPLETE</w:t>
            </w:r>
          </w:p>
          <w:p w14:paraId="0DDED501" w14:textId="77777777" w:rsidR="00763731" w:rsidRDefault="00763731">
            <w:pPr>
              <w:ind w:left="1" w:right="58"/>
              <w:jc w:val="both"/>
              <w:rPr>
                <w:rFonts w:ascii="Arial" w:eastAsia="Arial" w:hAnsi="Arial" w:cs="Arial"/>
                <w:sz w:val="22"/>
              </w:rPr>
            </w:pPr>
          </w:p>
          <w:p w14:paraId="5CFC5C1B" w14:textId="77777777" w:rsidR="00A05B9A" w:rsidRPr="00A05B9A" w:rsidRDefault="00A05B9A" w:rsidP="00A05B9A">
            <w:pPr>
              <w:rPr>
                <w:rFonts w:ascii="Arial" w:hAnsi="Arial" w:cs="Arial"/>
                <w:sz w:val="22"/>
                <w:highlight w:val="yellow"/>
              </w:rPr>
            </w:pPr>
            <w:r w:rsidRPr="00A05B9A">
              <w:rPr>
                <w:rFonts w:ascii="Arial" w:hAnsi="Arial" w:cs="Arial"/>
                <w:sz w:val="22"/>
              </w:rPr>
              <w:t xml:space="preserve">East Devon District Council concludes that, in the absence of mitigation measures, a Significant Effect on the </w:t>
            </w:r>
            <w:r w:rsidRPr="00A05B9A">
              <w:rPr>
                <w:rFonts w:ascii="Arial" w:eastAsia="Arial" w:hAnsi="Arial" w:cs="Arial"/>
                <w:sz w:val="22"/>
              </w:rPr>
              <w:t>River Axe SAC</w:t>
            </w:r>
            <w:r w:rsidRPr="00A05B9A">
              <w:rPr>
                <w:rFonts w:ascii="Arial" w:hAnsi="Arial" w:cs="Arial"/>
                <w:b/>
                <w:sz w:val="22"/>
              </w:rPr>
              <w:t xml:space="preserve"> </w:t>
            </w:r>
            <w:r w:rsidRPr="00A05B9A">
              <w:rPr>
                <w:rFonts w:ascii="Arial" w:hAnsi="Arial" w:cs="Arial"/>
                <w:sz w:val="22"/>
              </w:rPr>
              <w:t>either ‘alone’ or ‘in-combination’ with other plans and projects cannot be ruled out.</w:t>
            </w:r>
          </w:p>
          <w:p w14:paraId="58666354" w14:textId="77777777" w:rsidR="00A05B9A" w:rsidRPr="00A05B9A" w:rsidRDefault="00A05B9A" w:rsidP="00A05B9A">
            <w:pPr>
              <w:rPr>
                <w:rFonts w:ascii="Arial" w:hAnsi="Arial" w:cs="Arial"/>
                <w:sz w:val="22"/>
                <w:highlight w:val="yellow"/>
              </w:rPr>
            </w:pPr>
          </w:p>
          <w:p w14:paraId="6AFD8074" w14:textId="77777777" w:rsidR="00A05B9A" w:rsidRPr="00A05B9A" w:rsidRDefault="00A05B9A" w:rsidP="00A05B9A">
            <w:pPr>
              <w:ind w:left="1" w:right="58"/>
              <w:jc w:val="both"/>
              <w:rPr>
                <w:rFonts w:ascii="Arial" w:eastAsia="Arial" w:hAnsi="Arial" w:cs="Arial"/>
                <w:sz w:val="22"/>
              </w:rPr>
            </w:pPr>
            <w:r w:rsidRPr="00A05B9A">
              <w:rPr>
                <w:rFonts w:ascii="Arial" w:hAnsi="Arial" w:cs="Arial"/>
                <w:sz w:val="22"/>
              </w:rPr>
              <w:t xml:space="preserve">An </w:t>
            </w:r>
            <w:r w:rsidRPr="00A05B9A">
              <w:rPr>
                <w:rFonts w:ascii="Arial" w:hAnsi="Arial" w:cs="Arial"/>
                <w:b/>
                <w:sz w:val="22"/>
              </w:rPr>
              <w:t>Appropriate Assessment</w:t>
            </w:r>
            <w:r w:rsidRPr="00A05B9A">
              <w:rPr>
                <w:rFonts w:ascii="Arial" w:hAnsi="Arial" w:cs="Arial"/>
                <w:sz w:val="22"/>
              </w:rPr>
              <w:t xml:space="preserve"> of the proposal </w:t>
            </w:r>
            <w:r w:rsidRPr="00A05B9A">
              <w:rPr>
                <w:rFonts w:ascii="Arial" w:hAnsi="Arial" w:cs="Arial"/>
                <w:b/>
                <w:sz w:val="22"/>
              </w:rPr>
              <w:t>will therefore be necessary</w:t>
            </w:r>
            <w:r w:rsidRPr="00A05B9A">
              <w:rPr>
                <w:rFonts w:ascii="Arial" w:hAnsi="Arial" w:cs="Arial"/>
                <w:sz w:val="22"/>
              </w:rPr>
              <w:t>.</w:t>
            </w:r>
          </w:p>
          <w:p w14:paraId="1A35D469" w14:textId="77777777" w:rsidR="00A05B9A" w:rsidRDefault="00A05B9A">
            <w:pPr>
              <w:ind w:left="1" w:right="58"/>
              <w:jc w:val="both"/>
              <w:rPr>
                <w:rFonts w:ascii="Arial" w:eastAsia="Arial" w:hAnsi="Arial" w:cs="Arial"/>
                <w:sz w:val="22"/>
              </w:rPr>
            </w:pPr>
          </w:p>
          <w:p w14:paraId="1E2273C6" w14:textId="77777777" w:rsidR="00286E1B" w:rsidRDefault="00286E1B">
            <w:pPr>
              <w:ind w:left="1"/>
            </w:pPr>
          </w:p>
          <w:p w14:paraId="2AC02C2D" w14:textId="77777777" w:rsidR="00286E1B" w:rsidRDefault="001568E1">
            <w:pPr>
              <w:ind w:left="1"/>
            </w:pPr>
            <w:r>
              <w:rPr>
                <w:rFonts w:ascii="Arial" w:eastAsia="Arial" w:hAnsi="Arial" w:cs="Arial"/>
                <w:sz w:val="22"/>
              </w:rPr>
              <w:t xml:space="preserve"> </w:t>
            </w:r>
          </w:p>
        </w:tc>
      </w:tr>
      <w:tr w:rsidR="00286E1B" w14:paraId="4F9B5B3E" w14:textId="77777777" w:rsidTr="00763731">
        <w:trPr>
          <w:trHeight w:val="260"/>
        </w:trPr>
        <w:tc>
          <w:tcPr>
            <w:tcW w:w="10200" w:type="dxa"/>
            <w:gridSpan w:val="2"/>
            <w:tcBorders>
              <w:top w:val="single" w:sz="4" w:space="0" w:color="000000"/>
              <w:left w:val="single" w:sz="4" w:space="0" w:color="000000"/>
              <w:bottom w:val="single" w:sz="4" w:space="0" w:color="000000"/>
              <w:right w:val="single" w:sz="4" w:space="0" w:color="000000"/>
            </w:tcBorders>
            <w:shd w:val="clear" w:color="auto" w:fill="C2D69B"/>
          </w:tcPr>
          <w:p w14:paraId="1DD3561D" w14:textId="77777777" w:rsidR="00286E1B" w:rsidRDefault="001568E1">
            <w:r>
              <w:rPr>
                <w:rFonts w:ascii="Arial" w:eastAsia="Arial" w:hAnsi="Arial" w:cs="Arial"/>
                <w:b/>
                <w:sz w:val="22"/>
              </w:rPr>
              <w:t xml:space="preserve">Stage 2: Habitats Regulations Assessment – Appropriate Assessment </w:t>
            </w:r>
          </w:p>
        </w:tc>
      </w:tr>
      <w:tr w:rsidR="00286E1B" w14:paraId="3763CA44" w14:textId="77777777" w:rsidTr="00763731">
        <w:trPr>
          <w:trHeight w:val="2332"/>
        </w:trPr>
        <w:tc>
          <w:tcPr>
            <w:tcW w:w="10200" w:type="dxa"/>
            <w:gridSpan w:val="2"/>
            <w:tcBorders>
              <w:top w:val="single" w:sz="4" w:space="0" w:color="000000"/>
              <w:left w:val="single" w:sz="4" w:space="0" w:color="000000"/>
              <w:bottom w:val="single" w:sz="4" w:space="0" w:color="000000"/>
              <w:right w:val="single" w:sz="4" w:space="0" w:color="000000"/>
            </w:tcBorders>
            <w:shd w:val="clear" w:color="auto" w:fill="EAF1DD"/>
          </w:tcPr>
          <w:p w14:paraId="16084905" w14:textId="77777777" w:rsidR="00286E1B" w:rsidRDefault="001568E1">
            <w:r>
              <w:rPr>
                <w:rFonts w:ascii="Arial" w:eastAsia="Arial" w:hAnsi="Arial" w:cs="Arial"/>
                <w:b/>
                <w:sz w:val="22"/>
              </w:rPr>
              <w:t xml:space="preserve">Part D: Appropriate Assessment </w:t>
            </w:r>
          </w:p>
          <w:p w14:paraId="56E60315" w14:textId="77777777" w:rsidR="00286E1B" w:rsidRDefault="001568E1">
            <w:pPr>
              <w:spacing w:after="1"/>
              <w:ind w:right="76"/>
              <w:jc w:val="both"/>
            </w:pPr>
            <w:r>
              <w:rPr>
                <w:rFonts w:ascii="Arial" w:eastAsia="Arial" w:hAnsi="Arial" w:cs="Arial"/>
                <w:b/>
                <w:sz w:val="20"/>
              </w:rPr>
              <w:t>NB:</w:t>
            </w:r>
            <w:r>
              <w:rPr>
                <w:rFonts w:ascii="Arial" w:eastAsia="Arial" w:hAnsi="Arial" w:cs="Arial"/>
                <w:sz w:val="20"/>
              </w:rPr>
              <w:t xml:space="preserve"> In undertaking the appropriate assessment, the LPA must ascertain whether the project would adversely affect the integrity of the European site.  The Precautionary Principle applies, so to be certain, the authority should be convinced that no reasonable scientific doubt remains as to the absence of such effects.   </w:t>
            </w:r>
          </w:p>
          <w:p w14:paraId="5111144B" w14:textId="77777777" w:rsidR="00286E1B" w:rsidRDefault="001568E1">
            <w:r>
              <w:rPr>
                <w:rFonts w:ascii="Arial" w:eastAsia="Arial" w:hAnsi="Arial" w:cs="Arial"/>
                <w:b/>
                <w:sz w:val="20"/>
              </w:rPr>
              <w:t xml:space="preserve"> </w:t>
            </w:r>
          </w:p>
          <w:p w14:paraId="17446F05" w14:textId="77777777" w:rsidR="00286E1B" w:rsidRDefault="001568E1">
            <w:pPr>
              <w:ind w:right="72"/>
              <w:jc w:val="both"/>
            </w:pPr>
            <w:r>
              <w:rPr>
                <w:rFonts w:ascii="Arial" w:eastAsia="Arial" w:hAnsi="Arial" w:cs="Arial"/>
                <w:sz w:val="20"/>
              </w:rPr>
              <w:t xml:space="preserve">The Appropriate Assessment considers the impacts on the integrity of the international site, either alone or in combination with other plans and projects, with regard to the site’s structure and function and its conservation objectives. Where there are adverse impacts, an assessment of potential mitigation is carried out to determine if there is an overall adverse effect on the integrity of the site. If these mitigation options cannot avoid adverse effects, then development consent can only be given if stages 3 and 4 are followed. </w:t>
            </w:r>
          </w:p>
        </w:tc>
      </w:tr>
      <w:tr w:rsidR="00286E1B" w14:paraId="63C72FB2" w14:textId="77777777" w:rsidTr="00763731">
        <w:trPr>
          <w:trHeight w:val="3302"/>
        </w:trPr>
        <w:tc>
          <w:tcPr>
            <w:tcW w:w="10200" w:type="dxa"/>
            <w:gridSpan w:val="2"/>
            <w:tcBorders>
              <w:top w:val="single" w:sz="4" w:space="0" w:color="000000"/>
              <w:left w:val="single" w:sz="4" w:space="0" w:color="000000"/>
              <w:bottom w:val="single" w:sz="4" w:space="0" w:color="000000"/>
              <w:right w:val="single" w:sz="4" w:space="0" w:color="000000"/>
            </w:tcBorders>
          </w:tcPr>
          <w:p w14:paraId="5FB7A6A5" w14:textId="77777777" w:rsidR="00763731" w:rsidRDefault="00763731">
            <w:pPr>
              <w:spacing w:after="1" w:line="239" w:lineRule="auto"/>
              <w:ind w:right="63"/>
              <w:jc w:val="both"/>
              <w:rPr>
                <w:rFonts w:ascii="Arial" w:eastAsia="Arial" w:hAnsi="Arial" w:cs="Arial"/>
                <w:sz w:val="22"/>
              </w:rPr>
            </w:pPr>
          </w:p>
          <w:p w14:paraId="0A535611" w14:textId="16083925" w:rsidR="00286E1B" w:rsidRDefault="001568E1">
            <w:pPr>
              <w:spacing w:after="1" w:line="239" w:lineRule="auto"/>
              <w:ind w:right="63"/>
              <w:jc w:val="both"/>
            </w:pPr>
            <w:r>
              <w:rPr>
                <w:rFonts w:ascii="Arial" w:eastAsia="Arial" w:hAnsi="Arial" w:cs="Arial"/>
                <w:sz w:val="22"/>
              </w:rPr>
              <w:t xml:space="preserve">Based on the assessment, the proposed development would give rise to a phosphate surplus of </w:t>
            </w:r>
            <w:r w:rsidR="00763731" w:rsidRPr="00763731">
              <w:rPr>
                <w:rFonts w:ascii="Arial" w:eastAsia="Arial" w:hAnsi="Arial" w:cs="Arial"/>
                <w:color w:val="FF0000"/>
                <w:sz w:val="22"/>
              </w:rPr>
              <w:t>XXX</w:t>
            </w:r>
            <w:r>
              <w:rPr>
                <w:rFonts w:ascii="Arial" w:eastAsia="Arial" w:hAnsi="Arial" w:cs="Arial"/>
                <w:sz w:val="22"/>
              </w:rPr>
              <w:t xml:space="preserve"> kg/year from the associated land use change and therefore additional mitigation is required to achieve phosphate neutrality. </w:t>
            </w:r>
          </w:p>
          <w:p w14:paraId="3A1988F7" w14:textId="77777777" w:rsidR="00286E1B" w:rsidRDefault="001568E1">
            <w:r>
              <w:rPr>
                <w:rFonts w:ascii="Arial" w:eastAsia="Arial" w:hAnsi="Arial" w:cs="Arial"/>
                <w:sz w:val="22"/>
              </w:rPr>
              <w:t xml:space="preserve"> </w:t>
            </w:r>
          </w:p>
          <w:p w14:paraId="00A84DD1" w14:textId="77777777" w:rsidR="00286E1B" w:rsidRDefault="001568E1">
            <w:r>
              <w:rPr>
                <w:rFonts w:ascii="Arial" w:eastAsia="Arial" w:hAnsi="Arial" w:cs="Arial"/>
                <w:b/>
                <w:sz w:val="22"/>
              </w:rPr>
              <w:t xml:space="preserve">Mitigation </w:t>
            </w:r>
          </w:p>
          <w:p w14:paraId="53BDF57C" w14:textId="77777777" w:rsidR="00286E1B" w:rsidRDefault="001568E1">
            <w:r>
              <w:rPr>
                <w:rFonts w:ascii="Arial" w:eastAsia="Arial" w:hAnsi="Arial" w:cs="Arial"/>
                <w:sz w:val="22"/>
              </w:rPr>
              <w:t xml:space="preserve"> </w:t>
            </w:r>
          </w:p>
          <w:p w14:paraId="69F12938" w14:textId="064B71A8" w:rsidR="00286E1B" w:rsidRPr="00763731" w:rsidRDefault="00763731">
            <w:pPr>
              <w:rPr>
                <w:rFonts w:ascii="Arial" w:hAnsi="Arial" w:cs="Arial"/>
              </w:rPr>
            </w:pPr>
            <w:r w:rsidRPr="00763731">
              <w:rPr>
                <w:rFonts w:ascii="Arial" w:hAnsi="Arial" w:cs="Arial"/>
                <w:color w:val="FF0000"/>
                <w:sz w:val="22"/>
              </w:rPr>
              <w:t>TO COMPLETE</w:t>
            </w:r>
          </w:p>
        </w:tc>
      </w:tr>
    </w:tbl>
    <w:p w14:paraId="6B7D9E25" w14:textId="77777777" w:rsidR="00286E1B" w:rsidRDefault="001568E1">
      <w:r>
        <w:rPr>
          <w:noProof/>
          <w:sz w:val="22"/>
        </w:rPr>
        <mc:AlternateContent>
          <mc:Choice Requires="wpg">
            <w:drawing>
              <wp:inline distT="0" distB="0" distL="0" distR="0" wp14:anchorId="360E883A" wp14:editId="668CEDF6">
                <wp:extent cx="1829054" cy="9144"/>
                <wp:effectExtent l="0" t="0" r="0" b="0"/>
                <wp:docPr id="9270" name="Group 927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613" name="Shape 106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70" style="width:144.02pt;height:0.719971pt;mso-position-horizontal-relative:char;mso-position-vertical-relative:line" coordsize="18290,91">
                <v:shape id="Shape 10614"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14:paraId="4D28F384" w14:textId="7BD6E161" w:rsidR="00286E1B" w:rsidRDefault="00286E1B">
      <w:pPr>
        <w:spacing w:after="6433"/>
        <w:ind w:left="-5" w:right="-2836"/>
      </w:pPr>
    </w:p>
    <w:p w14:paraId="6D5C6FB0" w14:textId="7D914D41" w:rsidR="00286E1B" w:rsidRDefault="00286E1B">
      <w:pPr>
        <w:ind w:left="-5" w:right="-2836"/>
      </w:pPr>
    </w:p>
    <w:p w14:paraId="0E35B0E5" w14:textId="77777777" w:rsidR="00286E1B" w:rsidRDefault="001568E1">
      <w:pPr>
        <w:jc w:val="both"/>
      </w:pPr>
      <w:r>
        <w:rPr>
          <w:rFonts w:ascii="Arial" w:eastAsia="Arial" w:hAnsi="Arial" w:cs="Arial"/>
          <w:color w:val="365F91"/>
          <w:sz w:val="22"/>
        </w:rPr>
        <w:t xml:space="preserve"> </w:t>
      </w:r>
    </w:p>
    <w:tbl>
      <w:tblPr>
        <w:tblStyle w:val="TableGrid"/>
        <w:tblpPr w:vertAnchor="page" w:horzAnchor="page" w:tblpX="721" w:tblpY="725"/>
        <w:tblOverlap w:val="never"/>
        <w:tblW w:w="10462" w:type="dxa"/>
        <w:tblInd w:w="0" w:type="dxa"/>
        <w:tblCellMar>
          <w:top w:w="4" w:type="dxa"/>
          <w:left w:w="107" w:type="dxa"/>
          <w:right w:w="82" w:type="dxa"/>
        </w:tblCellMar>
        <w:tblLook w:val="04A0" w:firstRow="1" w:lastRow="0" w:firstColumn="1" w:lastColumn="0" w:noHBand="0" w:noVBand="1"/>
      </w:tblPr>
      <w:tblGrid>
        <w:gridCol w:w="1701"/>
        <w:gridCol w:w="8761"/>
      </w:tblGrid>
      <w:tr w:rsidR="00286E1B" w14:paraId="12DE3F4B" w14:textId="77777777" w:rsidTr="00F15CF5">
        <w:trPr>
          <w:trHeight w:val="1411"/>
        </w:trPr>
        <w:tc>
          <w:tcPr>
            <w:tcW w:w="10462" w:type="dxa"/>
            <w:gridSpan w:val="2"/>
            <w:tcBorders>
              <w:top w:val="single" w:sz="4" w:space="0" w:color="000000"/>
              <w:left w:val="single" w:sz="4" w:space="0" w:color="000000"/>
              <w:bottom w:val="single" w:sz="4" w:space="0" w:color="000000"/>
              <w:right w:val="single" w:sz="4" w:space="0" w:color="000000"/>
            </w:tcBorders>
          </w:tcPr>
          <w:p w14:paraId="3CD001B5" w14:textId="47B7447E" w:rsidR="00286E1B" w:rsidRDefault="001568E1">
            <w:r w:rsidRPr="006A38E9">
              <w:rPr>
                <w:rFonts w:ascii="Arial" w:eastAsia="Arial" w:hAnsi="Arial" w:cs="Arial"/>
                <w:sz w:val="21"/>
                <w:highlight w:val="yellow"/>
              </w:rPr>
              <w:t xml:space="preserve">The Nutrient Neutrality Assessment has demonstrated that the proposed development </w:t>
            </w:r>
            <w:r w:rsidRPr="006A38E9">
              <w:rPr>
                <w:rFonts w:ascii="Arial" w:eastAsia="Arial" w:hAnsi="Arial" w:cs="Arial"/>
                <w:b/>
                <w:bCs/>
                <w:sz w:val="21"/>
                <w:highlight w:val="yellow"/>
              </w:rPr>
              <w:t>would</w:t>
            </w:r>
            <w:r w:rsidR="006A38E9" w:rsidRPr="006A38E9">
              <w:rPr>
                <w:rFonts w:ascii="Arial" w:eastAsia="Arial" w:hAnsi="Arial" w:cs="Arial"/>
                <w:b/>
                <w:bCs/>
                <w:sz w:val="21"/>
                <w:highlight w:val="yellow"/>
              </w:rPr>
              <w:t>/would not</w:t>
            </w:r>
            <w:r w:rsidRPr="006A38E9">
              <w:rPr>
                <w:rFonts w:ascii="Arial" w:eastAsia="Arial" w:hAnsi="Arial" w:cs="Arial"/>
                <w:sz w:val="21"/>
                <w:highlight w:val="yellow"/>
              </w:rPr>
              <w:t xml:space="preserve"> have an LSE on the River </w:t>
            </w:r>
            <w:r w:rsidR="006A38E9">
              <w:rPr>
                <w:rFonts w:ascii="Arial" w:eastAsia="Arial" w:hAnsi="Arial" w:cs="Arial"/>
                <w:sz w:val="21"/>
                <w:highlight w:val="yellow"/>
              </w:rPr>
              <w:t>were the proposed</w:t>
            </w:r>
            <w:r w:rsidRPr="006A38E9">
              <w:rPr>
                <w:rFonts w:ascii="Arial" w:eastAsia="Arial" w:hAnsi="Arial" w:cs="Arial"/>
                <w:sz w:val="21"/>
                <w:highlight w:val="yellow"/>
              </w:rPr>
              <w:t xml:space="preserve"> mitigation </w:t>
            </w:r>
            <w:r w:rsidR="006A38E9" w:rsidRPr="006A38E9">
              <w:rPr>
                <w:rFonts w:ascii="Arial" w:eastAsia="Arial" w:hAnsi="Arial" w:cs="Arial"/>
                <w:sz w:val="21"/>
                <w:highlight w:val="yellow"/>
              </w:rPr>
              <w:t>measures to be secured</w:t>
            </w:r>
            <w:r w:rsidR="006A38E9">
              <w:rPr>
                <w:rFonts w:ascii="Arial" w:hAnsi="Arial" w:cs="Arial"/>
                <w:sz w:val="21"/>
              </w:rPr>
              <w:t>.</w:t>
            </w:r>
          </w:p>
        </w:tc>
      </w:tr>
      <w:tr w:rsidR="00286E1B" w14:paraId="68321E38" w14:textId="77777777">
        <w:trPr>
          <w:trHeight w:val="259"/>
        </w:trPr>
        <w:tc>
          <w:tcPr>
            <w:tcW w:w="10462" w:type="dxa"/>
            <w:gridSpan w:val="2"/>
            <w:tcBorders>
              <w:top w:val="single" w:sz="4" w:space="0" w:color="000000"/>
              <w:left w:val="single" w:sz="4" w:space="0" w:color="000000"/>
              <w:bottom w:val="single" w:sz="4" w:space="0" w:color="000000"/>
              <w:right w:val="single" w:sz="4" w:space="0" w:color="000000"/>
            </w:tcBorders>
            <w:shd w:val="clear" w:color="auto" w:fill="EAF1DD"/>
          </w:tcPr>
          <w:p w14:paraId="732EDF1C" w14:textId="77777777" w:rsidR="00286E1B" w:rsidRDefault="001568E1">
            <w:r>
              <w:rPr>
                <w:rFonts w:ascii="Arial" w:eastAsia="Arial" w:hAnsi="Arial" w:cs="Arial"/>
                <w:b/>
                <w:sz w:val="22"/>
              </w:rPr>
              <w:t xml:space="preserve">Part E: </w:t>
            </w:r>
            <w:r w:rsidR="00A05B9A" w:rsidRPr="003478CE">
              <w:rPr>
                <w:rFonts w:ascii="Arial" w:hAnsi="Arial" w:cs="Arial"/>
                <w:b/>
              </w:rPr>
              <w:t xml:space="preserve"> </w:t>
            </w:r>
            <w:r w:rsidR="00A05B9A" w:rsidRPr="00A05B9A">
              <w:rPr>
                <w:rFonts w:ascii="Arial" w:hAnsi="Arial" w:cs="Arial"/>
                <w:b/>
                <w:sz w:val="22"/>
              </w:rPr>
              <w:t>Conclusion of Appropriate Assessment - The Integrity Test</w:t>
            </w:r>
          </w:p>
        </w:tc>
      </w:tr>
      <w:tr w:rsidR="00A05B9A" w14:paraId="09A27945" w14:textId="77777777" w:rsidTr="00A05B9A">
        <w:trPr>
          <w:trHeight w:val="1024"/>
        </w:trPr>
        <w:tc>
          <w:tcPr>
            <w:tcW w:w="1701" w:type="dxa"/>
            <w:tcBorders>
              <w:top w:val="single" w:sz="4" w:space="0" w:color="000000"/>
              <w:left w:val="single" w:sz="4" w:space="0" w:color="000000"/>
              <w:bottom w:val="single" w:sz="4" w:space="0" w:color="000000"/>
              <w:right w:val="single" w:sz="4" w:space="0" w:color="000000"/>
            </w:tcBorders>
          </w:tcPr>
          <w:p w14:paraId="65BE3DA8" w14:textId="77777777" w:rsidR="00A05B9A" w:rsidRPr="00A05B9A" w:rsidRDefault="00A05B9A">
            <w:pPr>
              <w:rPr>
                <w:rFonts w:ascii="Arial" w:eastAsia="Arial" w:hAnsi="Arial" w:cs="Arial"/>
                <w:sz w:val="22"/>
              </w:rPr>
            </w:pPr>
            <w:r w:rsidRPr="00A05B9A">
              <w:rPr>
                <w:rFonts w:ascii="Arial" w:eastAsia="Arial" w:hAnsi="Arial" w:cs="Arial"/>
                <w:sz w:val="22"/>
              </w:rPr>
              <w:t>18.</w:t>
            </w:r>
            <w:r w:rsidRPr="00A05B9A">
              <w:rPr>
                <w:rFonts w:ascii="Arial" w:hAnsi="Arial" w:cs="Arial"/>
                <w:sz w:val="22"/>
              </w:rPr>
              <w:t xml:space="preserve"> List of avoidance/ mitigation/ compensation measures and safeguards to be covered by condition or planning obligations (Unilateral Undertaking or S106)</w:t>
            </w:r>
          </w:p>
        </w:tc>
        <w:tc>
          <w:tcPr>
            <w:tcW w:w="8761" w:type="dxa"/>
            <w:tcBorders>
              <w:top w:val="single" w:sz="4" w:space="0" w:color="000000"/>
              <w:left w:val="single" w:sz="4" w:space="0" w:color="000000"/>
              <w:bottom w:val="single" w:sz="4" w:space="0" w:color="000000"/>
              <w:right w:val="single" w:sz="4" w:space="0" w:color="000000"/>
            </w:tcBorders>
          </w:tcPr>
          <w:p w14:paraId="2F05501E" w14:textId="77777777" w:rsidR="00B05AA1" w:rsidRPr="0074193B" w:rsidRDefault="00B05AA1" w:rsidP="00B05AA1">
            <w:pPr>
              <w:pStyle w:val="Default"/>
              <w:ind w:left="720"/>
              <w:rPr>
                <w:sz w:val="22"/>
                <w:szCs w:val="22"/>
              </w:rPr>
            </w:pPr>
          </w:p>
          <w:p w14:paraId="79DF613E" w14:textId="68A4AF02" w:rsidR="00A05B9A" w:rsidRDefault="0074193B">
            <w:pPr>
              <w:ind w:left="1"/>
              <w:rPr>
                <w:rFonts w:ascii="Arial" w:eastAsia="Arial" w:hAnsi="Arial" w:cs="Arial"/>
                <w:i/>
                <w:sz w:val="22"/>
              </w:rPr>
            </w:pPr>
            <w:r w:rsidRPr="0074193B">
              <w:rPr>
                <w:rFonts w:ascii="Arial" w:eastAsia="Arial" w:hAnsi="Arial" w:cs="Arial"/>
                <w:i/>
                <w:sz w:val="22"/>
              </w:rPr>
              <w:t xml:space="preserve"> </w:t>
            </w:r>
            <w:r w:rsidR="006A38E9" w:rsidRPr="00763731">
              <w:rPr>
                <w:rFonts w:ascii="Arial" w:hAnsi="Arial" w:cs="Arial"/>
                <w:color w:val="FF0000"/>
                <w:sz w:val="22"/>
              </w:rPr>
              <w:t xml:space="preserve"> TO COMPLETE</w:t>
            </w:r>
          </w:p>
        </w:tc>
      </w:tr>
      <w:tr w:rsidR="00A05B9A" w14:paraId="171571FF" w14:textId="77777777" w:rsidTr="00A05B9A">
        <w:trPr>
          <w:trHeight w:val="1024"/>
        </w:trPr>
        <w:tc>
          <w:tcPr>
            <w:tcW w:w="1701" w:type="dxa"/>
            <w:tcBorders>
              <w:top w:val="single" w:sz="4" w:space="0" w:color="000000"/>
              <w:left w:val="single" w:sz="4" w:space="0" w:color="000000"/>
              <w:bottom w:val="single" w:sz="4" w:space="0" w:color="000000"/>
              <w:right w:val="single" w:sz="4" w:space="0" w:color="000000"/>
            </w:tcBorders>
          </w:tcPr>
          <w:p w14:paraId="3912F55A" w14:textId="77777777" w:rsidR="00A05B9A" w:rsidRPr="00A05B9A" w:rsidRDefault="00A05B9A">
            <w:pPr>
              <w:rPr>
                <w:rFonts w:ascii="Arial" w:eastAsia="Arial" w:hAnsi="Arial" w:cs="Arial"/>
                <w:sz w:val="22"/>
              </w:rPr>
            </w:pPr>
            <w:r w:rsidRPr="00A05B9A">
              <w:rPr>
                <w:rFonts w:ascii="Arial" w:eastAsia="Arial" w:hAnsi="Arial" w:cs="Arial"/>
                <w:sz w:val="22"/>
              </w:rPr>
              <w:t>19.</w:t>
            </w:r>
            <w:r w:rsidRPr="00A05B9A">
              <w:rPr>
                <w:rFonts w:ascii="Arial" w:hAnsi="Arial" w:cs="Arial"/>
                <w:sz w:val="22"/>
              </w:rPr>
              <w:t xml:space="preserve"> Conclusion of integrity test.</w:t>
            </w:r>
          </w:p>
        </w:tc>
        <w:tc>
          <w:tcPr>
            <w:tcW w:w="8761" w:type="dxa"/>
            <w:tcBorders>
              <w:top w:val="single" w:sz="4" w:space="0" w:color="000000"/>
              <w:left w:val="single" w:sz="4" w:space="0" w:color="000000"/>
              <w:bottom w:val="single" w:sz="4" w:space="0" w:color="000000"/>
              <w:right w:val="single" w:sz="4" w:space="0" w:color="000000"/>
            </w:tcBorders>
          </w:tcPr>
          <w:p w14:paraId="2E3735BD" w14:textId="7D87E93E" w:rsidR="00A05B9A" w:rsidRDefault="006A38E9" w:rsidP="00B05AA1">
            <w:pPr>
              <w:ind w:left="1"/>
              <w:rPr>
                <w:rFonts w:ascii="Arial" w:eastAsia="Arial" w:hAnsi="Arial" w:cs="Arial"/>
                <w:i/>
                <w:sz w:val="22"/>
              </w:rPr>
            </w:pPr>
            <w:r w:rsidRPr="006A38E9">
              <w:rPr>
                <w:rFonts w:ascii="Arial" w:hAnsi="Arial" w:cs="Arial"/>
                <w:sz w:val="21"/>
                <w:szCs w:val="21"/>
                <w:highlight w:val="yellow"/>
              </w:rPr>
              <w:t>FOR COMPLETION BY EDDC</w:t>
            </w:r>
          </w:p>
        </w:tc>
      </w:tr>
      <w:tr w:rsidR="00A05B9A" w14:paraId="1593AE57" w14:textId="77777777" w:rsidTr="00A05B9A">
        <w:trPr>
          <w:trHeight w:val="1024"/>
        </w:trPr>
        <w:tc>
          <w:tcPr>
            <w:tcW w:w="1701" w:type="dxa"/>
            <w:tcBorders>
              <w:top w:val="single" w:sz="4" w:space="0" w:color="000000"/>
              <w:left w:val="single" w:sz="4" w:space="0" w:color="000000"/>
              <w:bottom w:val="single" w:sz="4" w:space="0" w:color="000000"/>
              <w:right w:val="single" w:sz="4" w:space="0" w:color="000000"/>
            </w:tcBorders>
          </w:tcPr>
          <w:p w14:paraId="2CC3116A" w14:textId="77777777" w:rsidR="00A05B9A" w:rsidRPr="00A05B9A" w:rsidRDefault="00A05B9A" w:rsidP="00A05B9A">
            <w:pPr>
              <w:rPr>
                <w:rFonts w:ascii="Arial" w:hAnsi="Arial" w:cs="Arial"/>
                <w:sz w:val="22"/>
              </w:rPr>
            </w:pPr>
            <w:r w:rsidRPr="00A05B9A">
              <w:rPr>
                <w:rFonts w:ascii="Arial" w:eastAsia="Arial" w:hAnsi="Arial" w:cs="Arial"/>
                <w:sz w:val="22"/>
              </w:rPr>
              <w:t>20.</w:t>
            </w:r>
            <w:r w:rsidRPr="00A05B9A">
              <w:rPr>
                <w:rFonts w:ascii="Arial" w:hAnsi="Arial" w:cs="Arial"/>
                <w:sz w:val="22"/>
              </w:rPr>
              <w:t xml:space="preserve"> Completed by:  </w:t>
            </w:r>
          </w:p>
          <w:p w14:paraId="527FD7D0" w14:textId="77777777" w:rsidR="00A05B9A" w:rsidRPr="00A05B9A" w:rsidRDefault="00A05B9A" w:rsidP="00A05B9A">
            <w:pPr>
              <w:rPr>
                <w:rFonts w:ascii="Arial" w:eastAsia="Arial" w:hAnsi="Arial" w:cs="Arial"/>
                <w:sz w:val="22"/>
              </w:rPr>
            </w:pPr>
            <w:r w:rsidRPr="00A05B9A">
              <w:rPr>
                <w:rFonts w:ascii="Arial" w:hAnsi="Arial" w:cs="Arial"/>
                <w:sz w:val="22"/>
              </w:rPr>
              <w:t xml:space="preserve">Date:  </w:t>
            </w:r>
          </w:p>
        </w:tc>
        <w:tc>
          <w:tcPr>
            <w:tcW w:w="8761" w:type="dxa"/>
            <w:tcBorders>
              <w:top w:val="single" w:sz="4" w:space="0" w:color="000000"/>
              <w:left w:val="single" w:sz="4" w:space="0" w:color="000000"/>
              <w:bottom w:val="single" w:sz="4" w:space="0" w:color="000000"/>
              <w:right w:val="single" w:sz="4" w:space="0" w:color="000000"/>
            </w:tcBorders>
          </w:tcPr>
          <w:p w14:paraId="0D872B45" w14:textId="4414CDDA" w:rsidR="00A05B9A" w:rsidRPr="00A05B9A" w:rsidRDefault="006A38E9">
            <w:pPr>
              <w:ind w:left="1"/>
              <w:rPr>
                <w:rFonts w:ascii="Arial" w:eastAsia="Arial" w:hAnsi="Arial" w:cs="Arial"/>
                <w:sz w:val="22"/>
              </w:rPr>
            </w:pPr>
            <w:r w:rsidRPr="006A38E9">
              <w:rPr>
                <w:rFonts w:ascii="Arial" w:hAnsi="Arial" w:cs="Arial"/>
                <w:sz w:val="21"/>
                <w:szCs w:val="21"/>
                <w:highlight w:val="yellow"/>
              </w:rPr>
              <w:t>FOR COMPLETION BY EDDC</w:t>
            </w:r>
          </w:p>
        </w:tc>
      </w:tr>
      <w:tr w:rsidR="00286E1B" w14:paraId="3483E630" w14:textId="77777777" w:rsidTr="00A05B9A">
        <w:trPr>
          <w:trHeight w:val="1024"/>
        </w:trPr>
        <w:tc>
          <w:tcPr>
            <w:tcW w:w="1701" w:type="dxa"/>
            <w:tcBorders>
              <w:top w:val="single" w:sz="4" w:space="0" w:color="000000"/>
              <w:left w:val="single" w:sz="4" w:space="0" w:color="000000"/>
              <w:bottom w:val="single" w:sz="4" w:space="0" w:color="000000"/>
              <w:right w:val="single" w:sz="4" w:space="0" w:color="000000"/>
            </w:tcBorders>
          </w:tcPr>
          <w:p w14:paraId="5D9402E4" w14:textId="77777777" w:rsidR="00286E1B" w:rsidRDefault="00A05B9A">
            <w:r>
              <w:rPr>
                <w:rFonts w:ascii="Arial" w:eastAsia="Arial" w:hAnsi="Arial" w:cs="Arial"/>
                <w:sz w:val="22"/>
              </w:rPr>
              <w:t>21</w:t>
            </w:r>
            <w:r w:rsidR="001568E1">
              <w:rPr>
                <w:rFonts w:ascii="Arial" w:eastAsia="Arial" w:hAnsi="Arial" w:cs="Arial"/>
                <w:sz w:val="22"/>
              </w:rPr>
              <w:t xml:space="preserve">. Natural England consultation response </w:t>
            </w:r>
          </w:p>
        </w:tc>
        <w:tc>
          <w:tcPr>
            <w:tcW w:w="8761" w:type="dxa"/>
            <w:tcBorders>
              <w:top w:val="single" w:sz="4" w:space="0" w:color="000000"/>
              <w:left w:val="single" w:sz="4" w:space="0" w:color="000000"/>
              <w:bottom w:val="single" w:sz="4" w:space="0" w:color="000000"/>
              <w:right w:val="single" w:sz="4" w:space="0" w:color="000000"/>
            </w:tcBorders>
          </w:tcPr>
          <w:p w14:paraId="3F0EC40C" w14:textId="001D2FBC" w:rsidR="00286E1B" w:rsidRDefault="006A38E9">
            <w:pPr>
              <w:ind w:left="1"/>
            </w:pPr>
            <w:r w:rsidRPr="006A38E9">
              <w:rPr>
                <w:rFonts w:ascii="Arial" w:hAnsi="Arial" w:cs="Arial"/>
                <w:sz w:val="21"/>
                <w:szCs w:val="21"/>
                <w:highlight w:val="yellow"/>
              </w:rPr>
              <w:t>FOR COMPLETION BY EDDC</w:t>
            </w:r>
            <w:r>
              <w:t xml:space="preserve"> </w:t>
            </w:r>
          </w:p>
        </w:tc>
      </w:tr>
    </w:tbl>
    <w:p w14:paraId="43229382" w14:textId="77777777" w:rsidR="00286E1B" w:rsidRDefault="001568E1">
      <w:pPr>
        <w:spacing w:after="213"/>
        <w:jc w:val="both"/>
      </w:pPr>
      <w:r>
        <w:rPr>
          <w:rFonts w:ascii="Arial" w:eastAsia="Arial" w:hAnsi="Arial" w:cs="Arial"/>
          <w:sz w:val="22"/>
        </w:rPr>
        <w:t xml:space="preserve"> </w:t>
      </w:r>
    </w:p>
    <w:p w14:paraId="2081B46D" w14:textId="77777777" w:rsidR="00286E1B" w:rsidRDefault="001568E1">
      <w:pPr>
        <w:jc w:val="both"/>
      </w:pPr>
      <w:r>
        <w:rPr>
          <w:rFonts w:ascii="Arial" w:eastAsia="Arial" w:hAnsi="Arial" w:cs="Arial"/>
          <w:sz w:val="22"/>
        </w:rPr>
        <w:t xml:space="preserve"> </w:t>
      </w:r>
    </w:p>
    <w:sectPr w:rsidR="00286E1B">
      <w:footnotePr>
        <w:numRestart w:val="eachPage"/>
      </w:footnotePr>
      <w:pgSz w:w="11909" w:h="16834"/>
      <w:pgMar w:top="720" w:right="3554" w:bottom="71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8D80" w14:textId="77777777" w:rsidR="008724B6" w:rsidRDefault="001568E1">
      <w:pPr>
        <w:spacing w:line="240" w:lineRule="auto"/>
      </w:pPr>
      <w:r>
        <w:separator/>
      </w:r>
    </w:p>
  </w:endnote>
  <w:endnote w:type="continuationSeparator" w:id="0">
    <w:p w14:paraId="36777985" w14:textId="77777777" w:rsidR="008724B6" w:rsidRDefault="00156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B2E2" w14:textId="77777777" w:rsidR="00286E1B" w:rsidRDefault="001568E1">
      <w:pPr>
        <w:jc w:val="both"/>
      </w:pPr>
      <w:r>
        <w:separator/>
      </w:r>
    </w:p>
  </w:footnote>
  <w:footnote w:type="continuationSeparator" w:id="0">
    <w:p w14:paraId="2DEB8399" w14:textId="77777777" w:rsidR="00286E1B" w:rsidRDefault="001568E1">
      <w:pPr>
        <w:jc w:val="bot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A4B"/>
    <w:multiLevelType w:val="hybridMultilevel"/>
    <w:tmpl w:val="1EE6E972"/>
    <w:lvl w:ilvl="0" w:tplc="C9CE6402">
      <w:start w:val="19"/>
      <w:numFmt w:val="bullet"/>
      <w:lvlText w:val="-"/>
      <w:lvlJc w:val="left"/>
      <w:pPr>
        <w:ind w:left="721" w:hanging="360"/>
      </w:pPr>
      <w:rPr>
        <w:rFonts w:ascii="Arial" w:eastAsia="Arial" w:hAnsi="Arial" w:cs="Aria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0F933CE6"/>
    <w:multiLevelType w:val="hybridMultilevel"/>
    <w:tmpl w:val="F21E046A"/>
    <w:lvl w:ilvl="0" w:tplc="B434CAC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8F860">
      <w:start w:val="1"/>
      <w:numFmt w:val="bullet"/>
      <w:lvlText w:val="o"/>
      <w:lvlJc w:val="left"/>
      <w:pPr>
        <w:ind w:left="1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0CB844">
      <w:start w:val="1"/>
      <w:numFmt w:val="bullet"/>
      <w:lvlText w:val="▪"/>
      <w:lvlJc w:val="left"/>
      <w:pPr>
        <w:ind w:left="2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A6F5AA">
      <w:start w:val="1"/>
      <w:numFmt w:val="bullet"/>
      <w:lvlText w:val="•"/>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42C9AC">
      <w:start w:val="1"/>
      <w:numFmt w:val="bullet"/>
      <w:lvlText w:val="o"/>
      <w:lvlJc w:val="left"/>
      <w:pPr>
        <w:ind w:left="3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D2882E">
      <w:start w:val="1"/>
      <w:numFmt w:val="bullet"/>
      <w:lvlText w:val="▪"/>
      <w:lvlJc w:val="left"/>
      <w:pPr>
        <w:ind w:left="4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E2E264">
      <w:start w:val="1"/>
      <w:numFmt w:val="bullet"/>
      <w:lvlText w:val="•"/>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04C06">
      <w:start w:val="1"/>
      <w:numFmt w:val="bullet"/>
      <w:lvlText w:val="o"/>
      <w:lvlJc w:val="left"/>
      <w:pPr>
        <w:ind w:left="5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14B3C2">
      <w:start w:val="1"/>
      <w:numFmt w:val="bullet"/>
      <w:lvlText w:val="▪"/>
      <w:lvlJc w:val="left"/>
      <w:pPr>
        <w:ind w:left="6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1121D8"/>
    <w:multiLevelType w:val="hybridMultilevel"/>
    <w:tmpl w:val="F7D687B0"/>
    <w:lvl w:ilvl="0" w:tplc="AC4667B4">
      <w:start w:val="1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293435"/>
    <w:multiLevelType w:val="hybridMultilevel"/>
    <w:tmpl w:val="0B1CA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7FB5BC1"/>
    <w:multiLevelType w:val="hybridMultilevel"/>
    <w:tmpl w:val="ABF8E416"/>
    <w:lvl w:ilvl="0" w:tplc="D5301546">
      <w:start w:val="1"/>
      <w:numFmt w:val="bullet"/>
      <w:lvlText w:val="•"/>
      <w:lvlJc w:val="left"/>
      <w:pPr>
        <w:ind w:left="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6F4C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22F50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4E7D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C73F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F4AF6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D895C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20845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329C8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B15C59"/>
    <w:multiLevelType w:val="hybridMultilevel"/>
    <w:tmpl w:val="FC283C42"/>
    <w:lvl w:ilvl="0" w:tplc="C9CE6402">
      <w:start w:val="1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785324"/>
    <w:multiLevelType w:val="hybridMultilevel"/>
    <w:tmpl w:val="BE46FA9E"/>
    <w:lvl w:ilvl="0" w:tplc="41B8A496">
      <w:start w:val="1"/>
      <w:numFmt w:val="bullet"/>
      <w:lvlText w:val="•"/>
      <w:lvlJc w:val="left"/>
      <w:pPr>
        <w:ind w:left="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201F8">
      <w:start w:val="1"/>
      <w:numFmt w:val="bullet"/>
      <w:lvlText w:val="o"/>
      <w:lvlJc w:val="left"/>
      <w:pPr>
        <w:ind w:left="1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66EDC0">
      <w:start w:val="1"/>
      <w:numFmt w:val="bullet"/>
      <w:lvlText w:val="▪"/>
      <w:lvlJc w:val="left"/>
      <w:pPr>
        <w:ind w:left="2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54297C">
      <w:start w:val="1"/>
      <w:numFmt w:val="bullet"/>
      <w:lvlText w:val="•"/>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1EACB8">
      <w:start w:val="1"/>
      <w:numFmt w:val="bullet"/>
      <w:lvlText w:val="o"/>
      <w:lvlJc w:val="left"/>
      <w:pPr>
        <w:ind w:left="3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96AB4A">
      <w:start w:val="1"/>
      <w:numFmt w:val="bullet"/>
      <w:lvlText w:val="▪"/>
      <w:lvlJc w:val="left"/>
      <w:pPr>
        <w:ind w:left="4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DA889E">
      <w:start w:val="1"/>
      <w:numFmt w:val="bullet"/>
      <w:lvlText w:val="•"/>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85340">
      <w:start w:val="1"/>
      <w:numFmt w:val="bullet"/>
      <w:lvlText w:val="o"/>
      <w:lvlJc w:val="left"/>
      <w:pPr>
        <w:ind w:left="5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45F22">
      <w:start w:val="1"/>
      <w:numFmt w:val="bullet"/>
      <w:lvlText w:val="▪"/>
      <w:lvlJc w:val="left"/>
      <w:pPr>
        <w:ind w:left="6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64598968">
    <w:abstractNumId w:val="6"/>
  </w:num>
  <w:num w:numId="2" w16cid:durableId="964582123">
    <w:abstractNumId w:val="1"/>
  </w:num>
  <w:num w:numId="3" w16cid:durableId="1408961432">
    <w:abstractNumId w:val="4"/>
  </w:num>
  <w:num w:numId="4" w16cid:durableId="540173193">
    <w:abstractNumId w:val="2"/>
  </w:num>
  <w:num w:numId="5" w16cid:durableId="1703481219">
    <w:abstractNumId w:val="5"/>
  </w:num>
  <w:num w:numId="6" w16cid:durableId="1648827393">
    <w:abstractNumId w:val="0"/>
  </w:num>
  <w:num w:numId="7" w16cid:durableId="196773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E1B"/>
    <w:rsid w:val="00045BB2"/>
    <w:rsid w:val="000D592E"/>
    <w:rsid w:val="001568E1"/>
    <w:rsid w:val="001E7365"/>
    <w:rsid w:val="00286E1B"/>
    <w:rsid w:val="006A38E9"/>
    <w:rsid w:val="0072614B"/>
    <w:rsid w:val="0074193B"/>
    <w:rsid w:val="00763731"/>
    <w:rsid w:val="007C3E92"/>
    <w:rsid w:val="008724B6"/>
    <w:rsid w:val="009A4886"/>
    <w:rsid w:val="00A05B9A"/>
    <w:rsid w:val="00B05AA1"/>
    <w:rsid w:val="00B43874"/>
    <w:rsid w:val="00BE04F0"/>
    <w:rsid w:val="00F15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1E32"/>
  <w15:docId w15:val="{38D25E42-9680-4BD5-8EBD-2D48B0BC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jc w:val="both"/>
    </w:pPr>
    <w:rPr>
      <w:rFonts w:ascii="Microsoft New Tai Lue" w:eastAsia="Microsoft New Tai Lue" w:hAnsi="Microsoft New Tai Lue" w:cs="Microsoft New Tai Lue"/>
      <w:color w:val="000000"/>
      <w:sz w:val="18"/>
    </w:rPr>
  </w:style>
  <w:style w:type="character" w:customStyle="1" w:styleId="footnotedescriptionChar">
    <w:name w:val="footnote description Char"/>
    <w:link w:val="footnotedescription"/>
    <w:rPr>
      <w:rFonts w:ascii="Microsoft New Tai Lue" w:eastAsia="Microsoft New Tai Lue" w:hAnsi="Microsoft New Tai Lue" w:cs="Microsoft New Tai Lue"/>
      <w:color w:val="000000"/>
      <w:sz w:val="18"/>
    </w:rPr>
  </w:style>
  <w:style w:type="character" w:customStyle="1" w:styleId="footnotemark">
    <w:name w:val="footnote mark"/>
    <w:hidden/>
    <w:rPr>
      <w:rFonts w:ascii="Microsoft New Tai Lue" w:eastAsia="Microsoft New Tai Lue" w:hAnsi="Microsoft New Tai Lue" w:cs="Microsoft New Tai Lue"/>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7419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41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87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5199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Strata Service Solutions Ltd</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cp:lastModifiedBy>Will Dommett</cp:lastModifiedBy>
  <cp:revision>2</cp:revision>
  <dcterms:created xsi:type="dcterms:W3CDTF">2024-06-24T10:34:00Z</dcterms:created>
  <dcterms:modified xsi:type="dcterms:W3CDTF">2024-06-24T10:34:00Z</dcterms:modified>
</cp:coreProperties>
</file>