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jc w:val="center"/>
      </w:pPr>
    </w:p>
    <w:p w:rsidR="00332742" w:rsidRPr="00797F90" w:rsidRDefault="00332742" w:rsidP="00332742">
      <w:pPr>
        <w:rPr>
          <w:b/>
        </w:rPr>
      </w:pPr>
    </w:p>
    <w:p w:rsidR="00332742" w:rsidRPr="00797F90" w:rsidRDefault="00332742" w:rsidP="00332742">
      <w:pPr>
        <w:jc w:val="center"/>
        <w:rPr>
          <w:b/>
          <w:sz w:val="40"/>
          <w:szCs w:val="40"/>
        </w:rPr>
      </w:pPr>
      <w:r>
        <w:rPr>
          <w:b/>
          <w:sz w:val="40"/>
          <w:szCs w:val="40"/>
        </w:rPr>
        <w:t xml:space="preserve">Farringdon </w:t>
      </w:r>
      <w:r w:rsidRPr="00797F90">
        <w:rPr>
          <w:b/>
          <w:sz w:val="40"/>
          <w:szCs w:val="40"/>
        </w:rPr>
        <w:t>Neighbourhood Development Plan</w:t>
      </w:r>
    </w:p>
    <w:p w:rsidR="00332742" w:rsidRPr="00797F90" w:rsidRDefault="00332742" w:rsidP="00332742">
      <w:pPr>
        <w:jc w:val="center"/>
        <w:rPr>
          <w:b/>
          <w:sz w:val="40"/>
          <w:szCs w:val="40"/>
        </w:rPr>
      </w:pPr>
      <w:r w:rsidRPr="00797F90">
        <w:rPr>
          <w:b/>
          <w:sz w:val="40"/>
          <w:szCs w:val="40"/>
        </w:rPr>
        <w:t>Strategic Environmental Assessment and Habitat Regulation</w:t>
      </w:r>
      <w:r>
        <w:rPr>
          <w:b/>
          <w:sz w:val="40"/>
          <w:szCs w:val="40"/>
        </w:rPr>
        <w:t>s</w:t>
      </w:r>
      <w:r w:rsidRPr="00797F90">
        <w:rPr>
          <w:b/>
          <w:sz w:val="40"/>
          <w:szCs w:val="40"/>
        </w:rPr>
        <w:t xml:space="preserve"> Assessment </w:t>
      </w:r>
    </w:p>
    <w:p w:rsidR="00332742" w:rsidRPr="00797F90" w:rsidRDefault="00332742" w:rsidP="00332742">
      <w:pPr>
        <w:jc w:val="center"/>
        <w:rPr>
          <w:b/>
          <w:sz w:val="40"/>
          <w:szCs w:val="40"/>
        </w:rPr>
      </w:pPr>
      <w:r w:rsidRPr="00797F90">
        <w:rPr>
          <w:b/>
          <w:sz w:val="40"/>
          <w:szCs w:val="40"/>
        </w:rPr>
        <w:t>--------------</w:t>
      </w:r>
    </w:p>
    <w:p w:rsidR="00332742" w:rsidRPr="00797F90" w:rsidRDefault="00332742" w:rsidP="00332742">
      <w:pPr>
        <w:jc w:val="center"/>
        <w:rPr>
          <w:b/>
          <w:sz w:val="40"/>
          <w:szCs w:val="40"/>
        </w:rPr>
      </w:pPr>
      <w:r w:rsidRPr="00797F90">
        <w:rPr>
          <w:b/>
          <w:sz w:val="40"/>
          <w:szCs w:val="40"/>
        </w:rPr>
        <w:t>Screening Report</w:t>
      </w:r>
    </w:p>
    <w:p w:rsidR="00332742" w:rsidRPr="00797F90" w:rsidRDefault="00332742" w:rsidP="00332742">
      <w:pPr>
        <w:jc w:val="center"/>
        <w:rPr>
          <w:b/>
        </w:rPr>
      </w:pPr>
      <w:r w:rsidRPr="00797F90">
        <w:rPr>
          <w:b/>
        </w:rPr>
        <w:t>Prepared by</w:t>
      </w:r>
      <w:r>
        <w:rPr>
          <w:b/>
        </w:rPr>
        <w:t xml:space="preserve"> Officers of</w:t>
      </w:r>
      <w:r w:rsidRPr="00797F90">
        <w:rPr>
          <w:b/>
        </w:rPr>
        <w:t xml:space="preserve"> East Devon District Council</w:t>
      </w: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332742" w:rsidP="00332742">
      <w:pPr>
        <w:jc w:val="center"/>
        <w:rPr>
          <w:b/>
        </w:rPr>
      </w:pPr>
    </w:p>
    <w:p w:rsidR="00332742" w:rsidRPr="00797F90" w:rsidRDefault="00B07985" w:rsidP="00332742">
      <w:pPr>
        <w:rPr>
          <w:b/>
          <w:sz w:val="40"/>
          <w:szCs w:val="40"/>
        </w:rPr>
      </w:pPr>
      <w:r>
        <w:rPr>
          <w:b/>
          <w:sz w:val="40"/>
          <w:szCs w:val="40"/>
        </w:rPr>
        <w:t>May</w:t>
      </w:r>
      <w:bookmarkStart w:id="0" w:name="_GoBack"/>
      <w:bookmarkEnd w:id="0"/>
      <w:r w:rsidR="00332742">
        <w:rPr>
          <w:b/>
          <w:sz w:val="40"/>
          <w:szCs w:val="40"/>
        </w:rPr>
        <w:t xml:space="preserve"> 2020</w:t>
      </w:r>
    </w:p>
    <w:p w:rsidR="00332742" w:rsidRPr="00797F90" w:rsidRDefault="00332742" w:rsidP="00332742">
      <w:pPr>
        <w:spacing w:after="120" w:line="240" w:lineRule="auto"/>
        <w:rPr>
          <w:b/>
        </w:rPr>
      </w:pPr>
      <w:r w:rsidRPr="00797F90">
        <w:rPr>
          <w:b/>
        </w:rPr>
        <w:br w:type="page"/>
        <w:t xml:space="preserve">1.0 Introduction </w:t>
      </w:r>
    </w:p>
    <w:p w:rsidR="00332742" w:rsidRPr="002E4DA0" w:rsidRDefault="00332742" w:rsidP="00332742">
      <w:pPr>
        <w:pStyle w:val="Default"/>
        <w:numPr>
          <w:ilvl w:val="1"/>
          <w:numId w:val="1"/>
        </w:numPr>
        <w:spacing w:after="120"/>
        <w:ind w:left="715" w:hanging="431"/>
        <w:rPr>
          <w:rFonts w:asciiTheme="minorHAnsi" w:hAnsiTheme="minorHAnsi"/>
          <w:sz w:val="22"/>
          <w:szCs w:val="22"/>
          <w:lang w:val="en-GB"/>
        </w:rPr>
      </w:pPr>
      <w:r w:rsidRPr="00797F90">
        <w:rPr>
          <w:rFonts w:asciiTheme="minorHAnsi" w:hAnsiTheme="minorHAnsi"/>
          <w:sz w:val="22"/>
          <w:szCs w:val="22"/>
          <w:lang w:val="en-GB"/>
        </w:rPr>
        <w:t xml:space="preserve">The </w:t>
      </w:r>
      <w:r w:rsidRPr="00FE7FCC">
        <w:rPr>
          <w:rFonts w:asciiTheme="minorHAnsi" w:hAnsiTheme="minorHAnsi"/>
          <w:sz w:val="22"/>
          <w:szCs w:val="22"/>
          <w:lang w:val="en-GB"/>
        </w:rPr>
        <w:t>purpose of this report is to assess the</w:t>
      </w:r>
      <w:r>
        <w:rPr>
          <w:rFonts w:asciiTheme="minorHAnsi" w:hAnsiTheme="minorHAnsi"/>
          <w:sz w:val="22"/>
          <w:szCs w:val="22"/>
          <w:lang w:val="en-GB"/>
        </w:rPr>
        <w:t xml:space="preserve"> draft</w:t>
      </w:r>
      <w:r w:rsidRPr="00FE7FCC">
        <w:rPr>
          <w:rFonts w:asciiTheme="minorHAnsi" w:hAnsiTheme="minorHAnsi"/>
          <w:sz w:val="22"/>
          <w:szCs w:val="22"/>
          <w:lang w:val="en-GB"/>
        </w:rPr>
        <w:t xml:space="preserve"> </w:t>
      </w:r>
      <w:r>
        <w:rPr>
          <w:rFonts w:asciiTheme="minorHAnsi" w:hAnsiTheme="minorHAnsi"/>
          <w:sz w:val="22"/>
          <w:szCs w:val="22"/>
          <w:lang w:val="en-GB"/>
        </w:rPr>
        <w:t>proposals in the Farringdon</w:t>
      </w:r>
      <w:r w:rsidRPr="00FE7FCC">
        <w:rPr>
          <w:rFonts w:asciiTheme="minorHAnsi" w:hAnsiTheme="minorHAnsi"/>
          <w:sz w:val="22"/>
          <w:szCs w:val="22"/>
          <w:lang w:val="en-GB"/>
        </w:rPr>
        <w:t xml:space="preserve"> Neighbourhood Development Plan (hereafter</w:t>
      </w:r>
      <w:r>
        <w:rPr>
          <w:rFonts w:asciiTheme="minorHAnsi" w:hAnsiTheme="minorHAnsi"/>
          <w:sz w:val="22"/>
          <w:szCs w:val="22"/>
          <w:lang w:val="en-GB"/>
        </w:rPr>
        <w:t xml:space="preserve"> referred to as the FNP</w:t>
      </w:r>
      <w:r w:rsidRPr="00FE7FCC">
        <w:rPr>
          <w:rFonts w:asciiTheme="minorHAnsi" w:hAnsiTheme="minorHAnsi"/>
          <w:sz w:val="22"/>
          <w:szCs w:val="22"/>
          <w:lang w:val="en-GB"/>
        </w:rPr>
        <w:t xml:space="preserve">) to determine whether it requires a Strategic Environmental Assessment (SEA) in accordance with the European Directive 2001/42/EC and associated Environmental Assessment of Plans and Programmes Regulations 2004. </w:t>
      </w:r>
      <w:r w:rsidRPr="00FE7FCC">
        <w:rPr>
          <w:rFonts w:asciiTheme="minorHAnsi" w:hAnsiTheme="minorHAnsi" w:cs="Calibri"/>
          <w:sz w:val="22"/>
          <w:szCs w:val="22"/>
        </w:rPr>
        <w:t xml:space="preserve"> An </w:t>
      </w:r>
      <w:r w:rsidRPr="002E4DA0">
        <w:rPr>
          <w:rFonts w:asciiTheme="minorHAnsi" w:hAnsiTheme="minorHAnsi" w:cs="Calibri"/>
          <w:sz w:val="22"/>
          <w:szCs w:val="22"/>
        </w:rPr>
        <w:t>SEA is required under this legislation for all plans which may have a significant effect on the environment.</w:t>
      </w:r>
    </w:p>
    <w:p w:rsidR="00332742" w:rsidRPr="002E4DA0" w:rsidRDefault="00332742" w:rsidP="00332742">
      <w:pPr>
        <w:pStyle w:val="Default"/>
        <w:numPr>
          <w:ilvl w:val="1"/>
          <w:numId w:val="1"/>
        </w:numPr>
        <w:spacing w:after="120"/>
        <w:ind w:left="715" w:hanging="431"/>
        <w:rPr>
          <w:rFonts w:asciiTheme="minorHAnsi" w:hAnsiTheme="minorHAnsi"/>
          <w:sz w:val="22"/>
          <w:szCs w:val="22"/>
        </w:rPr>
      </w:pPr>
      <w:r w:rsidRPr="002E4DA0">
        <w:rPr>
          <w:rFonts w:asciiTheme="minorHAnsi" w:hAnsiTheme="minorHAnsi"/>
          <w:sz w:val="22"/>
          <w:szCs w:val="22"/>
        </w:rPr>
        <w:t>This report will also screen to determine whether or not the</w:t>
      </w:r>
      <w:r>
        <w:rPr>
          <w:rFonts w:asciiTheme="minorHAnsi" w:hAnsiTheme="minorHAnsi"/>
          <w:sz w:val="22"/>
          <w:szCs w:val="22"/>
        </w:rPr>
        <w:t xml:space="preserve"> FNP </w:t>
      </w:r>
      <w:r w:rsidRPr="002E4DA0">
        <w:rPr>
          <w:rFonts w:asciiTheme="minorHAnsi" w:hAnsiTheme="minorHAnsi"/>
          <w:sz w:val="22"/>
          <w:szCs w:val="22"/>
        </w:rPr>
        <w:t>requires a Habitats Regulations Assessment (HRA) in accordance with Article 6(3) of the EU Habitats Directive and with Regulation 61 of the Conservation of Habitats and Species Regulations 2010. An HRA is required when it is deemed that the implementation of the plan is likely to cause negative significant effects on protected European Sites (Natura 2000 sites).</w:t>
      </w:r>
    </w:p>
    <w:p w:rsidR="00332742" w:rsidRPr="002E4DA0" w:rsidRDefault="00332742" w:rsidP="00332742">
      <w:pPr>
        <w:pStyle w:val="Default"/>
        <w:numPr>
          <w:ilvl w:val="1"/>
          <w:numId w:val="1"/>
        </w:numPr>
        <w:spacing w:after="120"/>
        <w:ind w:left="715" w:hanging="431"/>
        <w:rPr>
          <w:rFonts w:asciiTheme="minorHAnsi" w:hAnsiTheme="minorHAnsi"/>
          <w:sz w:val="22"/>
          <w:szCs w:val="22"/>
        </w:rPr>
      </w:pPr>
      <w:r w:rsidRPr="002E4DA0">
        <w:rPr>
          <w:rFonts w:asciiTheme="minorHAnsi" w:hAnsiTheme="minorHAnsi" w:cs="Calibri"/>
          <w:sz w:val="22"/>
          <w:szCs w:val="22"/>
        </w:rPr>
        <w:t>The conclusion of the assessment is that the</w:t>
      </w:r>
      <w:r>
        <w:rPr>
          <w:rFonts w:asciiTheme="minorHAnsi" w:hAnsiTheme="minorHAnsi" w:cs="Calibri"/>
          <w:sz w:val="22"/>
          <w:szCs w:val="22"/>
        </w:rPr>
        <w:t xml:space="preserve"> FNP </w:t>
      </w:r>
      <w:r w:rsidRPr="002E4DA0">
        <w:rPr>
          <w:rFonts w:asciiTheme="minorHAnsi" w:hAnsiTheme="minorHAnsi" w:cs="Calibri"/>
          <w:sz w:val="22"/>
          <w:szCs w:val="22"/>
        </w:rPr>
        <w:t xml:space="preserve">is unlikely to have a significant effect on the environment so an SEA in not required to accompany the Plan. It is also unlikely to have a negative impact on any Natura </w:t>
      </w:r>
      <w:r w:rsidRPr="002E4DA0">
        <w:rPr>
          <w:rFonts w:asciiTheme="minorHAnsi" w:hAnsiTheme="minorHAnsi"/>
          <w:sz w:val="22"/>
          <w:szCs w:val="22"/>
        </w:rPr>
        <w:t>2000 sites</w:t>
      </w:r>
      <w:r w:rsidRPr="002E4DA0">
        <w:rPr>
          <w:rFonts w:asciiTheme="minorHAnsi" w:hAnsiTheme="minorHAnsi" w:cs="Calibri"/>
          <w:sz w:val="22"/>
          <w:szCs w:val="22"/>
        </w:rPr>
        <w:t xml:space="preserve"> so should not be subject to HRA.</w:t>
      </w:r>
    </w:p>
    <w:p w:rsidR="00332742" w:rsidRPr="00376ACC" w:rsidRDefault="00332742" w:rsidP="00332742">
      <w:pPr>
        <w:pStyle w:val="Default"/>
        <w:numPr>
          <w:ilvl w:val="1"/>
          <w:numId w:val="1"/>
        </w:numPr>
        <w:spacing w:after="120"/>
        <w:ind w:left="715" w:hanging="431"/>
        <w:rPr>
          <w:rFonts w:asciiTheme="minorHAnsi" w:hAnsiTheme="minorHAnsi"/>
          <w:sz w:val="22"/>
          <w:szCs w:val="22"/>
        </w:rPr>
      </w:pPr>
      <w:r w:rsidRPr="002E4DA0">
        <w:rPr>
          <w:rFonts w:asciiTheme="minorHAnsi" w:hAnsiTheme="minorHAnsi" w:cs="Calibri"/>
          <w:sz w:val="22"/>
          <w:szCs w:val="22"/>
        </w:rPr>
        <w:t xml:space="preserve">This report </w:t>
      </w:r>
      <w:r>
        <w:rPr>
          <w:rFonts w:asciiTheme="minorHAnsi" w:hAnsiTheme="minorHAnsi" w:cs="Calibri"/>
          <w:sz w:val="22"/>
          <w:szCs w:val="22"/>
        </w:rPr>
        <w:t>w</w:t>
      </w:r>
      <w:r w:rsidRPr="00263A3A">
        <w:rPr>
          <w:rFonts w:asciiTheme="minorHAnsi" w:hAnsiTheme="minorHAnsi" w:cs="Calibri"/>
          <w:sz w:val="22"/>
          <w:szCs w:val="22"/>
        </w:rPr>
        <w:t xml:space="preserve">as sent to the three statutory consultees </w:t>
      </w:r>
      <w:r w:rsidRPr="00263A3A">
        <w:rPr>
          <w:rFonts w:asciiTheme="minorHAnsi" w:hAnsiTheme="minorHAnsi"/>
          <w:sz w:val="22"/>
          <w:szCs w:val="22"/>
        </w:rPr>
        <w:t>designated in the Regulations (</w:t>
      </w:r>
      <w:r>
        <w:rPr>
          <w:rFonts w:asciiTheme="minorHAnsi" w:hAnsiTheme="minorHAnsi"/>
          <w:sz w:val="22"/>
          <w:szCs w:val="22"/>
        </w:rPr>
        <w:t>Historic England</w:t>
      </w:r>
      <w:r w:rsidRPr="00263A3A">
        <w:rPr>
          <w:rFonts w:asciiTheme="minorHAnsi" w:hAnsiTheme="minorHAnsi"/>
          <w:sz w:val="22"/>
          <w:szCs w:val="22"/>
        </w:rPr>
        <w:t>, Environment Agency and Natural England)</w:t>
      </w:r>
      <w:r w:rsidRPr="00263A3A">
        <w:rPr>
          <w:rFonts w:asciiTheme="minorHAnsi" w:hAnsiTheme="minorHAnsi" w:cs="Calibri"/>
          <w:sz w:val="22"/>
          <w:szCs w:val="22"/>
        </w:rPr>
        <w:t xml:space="preserve"> to elicit their views on the findings</w:t>
      </w:r>
      <w:r>
        <w:rPr>
          <w:rFonts w:asciiTheme="minorHAnsi" w:hAnsiTheme="minorHAnsi" w:cs="Calibri"/>
          <w:sz w:val="22"/>
          <w:szCs w:val="22"/>
        </w:rPr>
        <w:t xml:space="preserve"> with a 5 week response period</w:t>
      </w:r>
      <w:r w:rsidRPr="00263A3A">
        <w:rPr>
          <w:rFonts w:asciiTheme="minorHAnsi" w:hAnsiTheme="minorHAnsi" w:cs="Calibri"/>
          <w:sz w:val="22"/>
          <w:szCs w:val="22"/>
        </w:rPr>
        <w:t xml:space="preserve">. </w:t>
      </w:r>
      <w:r w:rsidR="00030490">
        <w:rPr>
          <w:rFonts w:asciiTheme="minorHAnsi" w:hAnsiTheme="minorHAnsi" w:cs="Calibri"/>
          <w:sz w:val="22"/>
          <w:szCs w:val="22"/>
        </w:rPr>
        <w:t xml:space="preserve">All three consultees </w:t>
      </w:r>
      <w:r w:rsidR="00AD05DC">
        <w:rPr>
          <w:rFonts w:asciiTheme="minorHAnsi" w:hAnsiTheme="minorHAnsi" w:cs="Calibri"/>
          <w:sz w:val="22"/>
          <w:szCs w:val="22"/>
        </w:rPr>
        <w:t>agreed with the District council’s conclusion.</w:t>
      </w:r>
    </w:p>
    <w:p w:rsidR="00332742" w:rsidRDefault="00332742" w:rsidP="00332742">
      <w:pPr>
        <w:pStyle w:val="Default"/>
        <w:spacing w:after="120"/>
        <w:ind w:hanging="430"/>
        <w:rPr>
          <w:rFonts w:asciiTheme="minorHAnsi" w:hAnsiTheme="minorHAnsi"/>
          <w:sz w:val="22"/>
          <w:szCs w:val="22"/>
          <w:lang w:val="en-GB"/>
        </w:rPr>
      </w:pPr>
    </w:p>
    <w:p w:rsidR="00332742" w:rsidRDefault="00332742" w:rsidP="00332742">
      <w:pPr>
        <w:spacing w:after="120" w:line="240" w:lineRule="auto"/>
        <w:ind w:hanging="430"/>
        <w:rPr>
          <w:rFonts w:cs="Arial"/>
          <w:color w:val="000000"/>
        </w:rPr>
      </w:pPr>
      <w:r>
        <w:br w:type="page"/>
      </w:r>
    </w:p>
    <w:p w:rsidR="00332742" w:rsidRPr="00CB774D" w:rsidRDefault="00332742" w:rsidP="00332742">
      <w:pPr>
        <w:pStyle w:val="Default"/>
        <w:spacing w:after="120"/>
        <w:rPr>
          <w:rFonts w:asciiTheme="minorHAnsi" w:hAnsiTheme="minorHAnsi"/>
          <w:b/>
          <w:sz w:val="22"/>
          <w:szCs w:val="22"/>
          <w:lang w:val="en-GB"/>
        </w:rPr>
      </w:pPr>
      <w:r>
        <w:rPr>
          <w:rFonts w:asciiTheme="minorHAnsi" w:hAnsiTheme="minorHAnsi"/>
          <w:b/>
          <w:sz w:val="22"/>
          <w:szCs w:val="22"/>
          <w:lang w:val="en-GB"/>
        </w:rPr>
        <w:lastRenderedPageBreak/>
        <w:t xml:space="preserve">2.0 </w:t>
      </w:r>
      <w:r w:rsidRPr="00CB774D">
        <w:rPr>
          <w:rFonts w:asciiTheme="minorHAnsi" w:hAnsiTheme="minorHAnsi"/>
          <w:b/>
          <w:sz w:val="22"/>
          <w:szCs w:val="22"/>
          <w:lang w:val="en-GB"/>
        </w:rPr>
        <w:t>SEA screening</w:t>
      </w:r>
    </w:p>
    <w:p w:rsidR="00332742" w:rsidRPr="00FE7FCC" w:rsidRDefault="00332742" w:rsidP="00332742">
      <w:pPr>
        <w:pStyle w:val="Default"/>
        <w:numPr>
          <w:ilvl w:val="1"/>
          <w:numId w:val="3"/>
        </w:numPr>
        <w:spacing w:after="120"/>
        <w:ind w:hanging="436"/>
        <w:rPr>
          <w:rFonts w:asciiTheme="minorHAnsi" w:hAnsiTheme="minorHAnsi"/>
          <w:sz w:val="22"/>
          <w:szCs w:val="22"/>
          <w:lang w:val="en-GB"/>
        </w:rPr>
      </w:pPr>
      <w:r w:rsidRPr="00FE7FCC">
        <w:rPr>
          <w:rFonts w:asciiTheme="minorHAnsi" w:hAnsiTheme="minorHAnsi"/>
          <w:sz w:val="22"/>
          <w:szCs w:val="22"/>
          <w:lang w:val="en-GB"/>
        </w:rPr>
        <w:t xml:space="preserve">The basis for Strategic Environmental Assessments and Sustainability Appraisal legislation is European Directive 2001/42/EC and was transposed into English law by the Environmental Assessment of Plans and Programmes Regulations 2004, or SEA Regulations. Detailed Guidance of these regulations can be found in the Government publication ‘A Practical Guide to the Strategic Environmental Assessment Directive’ (ODPM 2005). </w:t>
      </w:r>
    </w:p>
    <w:p w:rsidR="00332742" w:rsidRPr="00FE7FCC" w:rsidRDefault="00332742" w:rsidP="00332742">
      <w:pPr>
        <w:pStyle w:val="Default"/>
        <w:numPr>
          <w:ilvl w:val="1"/>
          <w:numId w:val="3"/>
        </w:numPr>
        <w:spacing w:after="120"/>
        <w:ind w:hanging="436"/>
        <w:rPr>
          <w:rFonts w:asciiTheme="minorHAnsi" w:hAnsiTheme="minorHAnsi"/>
          <w:sz w:val="22"/>
          <w:szCs w:val="22"/>
          <w:lang w:val="en-GB"/>
        </w:rPr>
      </w:pPr>
      <w:r w:rsidRPr="00FE7FCC">
        <w:rPr>
          <w:rFonts w:asciiTheme="minorHAnsi" w:hAnsiTheme="minorHAnsi"/>
          <w:sz w:val="22"/>
          <w:szCs w:val="22"/>
          <w:lang w:val="en-GB"/>
        </w:rPr>
        <w:t>The objective of SEA is '</w:t>
      </w:r>
      <w:r w:rsidRPr="00FE7FCC">
        <w:rPr>
          <w:rFonts w:asciiTheme="minorHAnsi" w:hAnsiTheme="minorHAnsi" w:cs="Calibri,Italic"/>
          <w:i/>
          <w:iCs/>
          <w:sz w:val="22"/>
          <w:szCs w:val="22"/>
          <w:lang w:val="en-GB"/>
        </w:rPr>
        <w:t xml:space="preserve">to provide for a high level of protection of the environment and contribute to the integration of environmental considerations into the preparation and adoption of development plans.... with a view to promoting sustainable development’ </w:t>
      </w:r>
      <w:r w:rsidRPr="00FE7FCC">
        <w:rPr>
          <w:rFonts w:asciiTheme="minorHAnsi" w:hAnsiTheme="minorHAnsi" w:cs="Calibri"/>
          <w:sz w:val="22"/>
          <w:szCs w:val="22"/>
          <w:lang w:val="en-GB"/>
        </w:rPr>
        <w:t>EU Directive 2001/42/EC (Article 1).</w:t>
      </w:r>
    </w:p>
    <w:p w:rsidR="00332742" w:rsidRPr="008E004B" w:rsidRDefault="00332742" w:rsidP="00332742">
      <w:pPr>
        <w:pStyle w:val="Default"/>
        <w:numPr>
          <w:ilvl w:val="1"/>
          <w:numId w:val="3"/>
        </w:numPr>
        <w:spacing w:after="120"/>
        <w:ind w:left="714" w:hanging="436"/>
        <w:rPr>
          <w:rFonts w:asciiTheme="minorHAnsi" w:hAnsiTheme="minorHAnsi"/>
          <w:sz w:val="22"/>
          <w:szCs w:val="22"/>
          <w:lang w:val="en-GB"/>
        </w:rPr>
      </w:pPr>
      <w:r w:rsidRPr="008E004B">
        <w:rPr>
          <w:rFonts w:asciiTheme="minorHAnsi" w:hAnsiTheme="minorHAnsi" w:cs="Calibri"/>
          <w:sz w:val="22"/>
          <w:szCs w:val="22"/>
          <w:lang w:val="en-GB"/>
        </w:rPr>
        <w:t>Although there is no definitive guidance stating that a Neighbourhood Plan will require an SEA, Local Authorities are legally obliged to advise the plan producers as to whether an SEA is required.</w:t>
      </w:r>
    </w:p>
    <w:p w:rsidR="00332742" w:rsidRPr="00797F90" w:rsidRDefault="00332742" w:rsidP="00332742">
      <w:pPr>
        <w:pStyle w:val="Default"/>
        <w:numPr>
          <w:ilvl w:val="1"/>
          <w:numId w:val="3"/>
        </w:numPr>
        <w:spacing w:after="120"/>
        <w:ind w:left="714" w:hanging="436"/>
        <w:rPr>
          <w:rFonts w:asciiTheme="minorHAnsi" w:hAnsiTheme="minorHAnsi"/>
          <w:sz w:val="22"/>
          <w:szCs w:val="22"/>
          <w:lang w:val="en-GB"/>
        </w:rPr>
      </w:pPr>
      <w:r w:rsidRPr="008E004B">
        <w:rPr>
          <w:rFonts w:asciiTheme="minorHAnsi" w:hAnsiTheme="minorHAnsi" w:cs="Calibri"/>
          <w:sz w:val="22"/>
          <w:szCs w:val="22"/>
          <w:lang w:val="en-GB"/>
        </w:rPr>
        <w:t>To ascertain if SEA is required, a “screening” exercise</w:t>
      </w:r>
      <w:r>
        <w:rPr>
          <w:rFonts w:asciiTheme="minorHAnsi" w:hAnsiTheme="minorHAnsi" w:cs="Calibri"/>
          <w:sz w:val="22"/>
          <w:szCs w:val="22"/>
          <w:lang w:val="en-GB"/>
        </w:rPr>
        <w:t xml:space="preserve"> has</w:t>
      </w:r>
      <w:r w:rsidRPr="00797F90">
        <w:rPr>
          <w:rFonts w:asciiTheme="minorHAnsi" w:hAnsiTheme="minorHAnsi" w:cs="Calibri"/>
          <w:sz w:val="22"/>
          <w:szCs w:val="22"/>
          <w:lang w:val="en-GB"/>
        </w:rPr>
        <w:t xml:space="preserve"> be</w:t>
      </w:r>
      <w:r>
        <w:rPr>
          <w:rFonts w:asciiTheme="minorHAnsi" w:hAnsiTheme="minorHAnsi" w:cs="Calibri"/>
          <w:sz w:val="22"/>
          <w:szCs w:val="22"/>
          <w:lang w:val="en-GB"/>
        </w:rPr>
        <w:t>en</w:t>
      </w:r>
      <w:r w:rsidRPr="00797F90">
        <w:rPr>
          <w:rFonts w:asciiTheme="minorHAnsi" w:hAnsiTheme="minorHAnsi" w:cs="Calibri"/>
          <w:sz w:val="22"/>
          <w:szCs w:val="22"/>
          <w:lang w:val="en-GB"/>
        </w:rPr>
        <w:t xml:space="preserve"> undertaken by East Devon District Council evaluating </w:t>
      </w:r>
      <w:r>
        <w:rPr>
          <w:rFonts w:asciiTheme="minorHAnsi" w:hAnsiTheme="minorHAnsi" w:cs="Calibri"/>
          <w:sz w:val="22"/>
          <w:szCs w:val="22"/>
          <w:lang w:val="en-GB"/>
        </w:rPr>
        <w:t>the proposals the FNP</w:t>
      </w:r>
      <w:r w:rsidRPr="00797F90">
        <w:rPr>
          <w:rFonts w:asciiTheme="minorHAnsi" w:hAnsiTheme="minorHAnsi" w:cs="Calibri"/>
          <w:sz w:val="22"/>
          <w:szCs w:val="22"/>
          <w:lang w:val="en-GB"/>
        </w:rPr>
        <w:t xml:space="preserve"> against the criteria set out in the SEA Directive. </w:t>
      </w:r>
      <w:r w:rsidRPr="00797F90">
        <w:rPr>
          <w:rFonts w:asciiTheme="minorHAnsi" w:hAnsiTheme="minorHAnsi"/>
          <w:sz w:val="22"/>
          <w:szCs w:val="22"/>
          <w:lang w:val="en-GB"/>
        </w:rPr>
        <w:t>This criterion is</w:t>
      </w:r>
      <w:r w:rsidRPr="00797F90">
        <w:rPr>
          <w:rFonts w:asciiTheme="minorHAnsi" w:hAnsiTheme="minorHAnsi" w:cs="Calibri"/>
          <w:sz w:val="22"/>
          <w:szCs w:val="22"/>
          <w:lang w:val="en-GB"/>
        </w:rPr>
        <w:t xml:space="preserve"> set out in the SEA Directive and can be found in Figure 1.</w:t>
      </w:r>
    </w:p>
    <w:p w:rsidR="00332742" w:rsidRPr="00797F90" w:rsidRDefault="00332742" w:rsidP="00332742">
      <w:pPr>
        <w:pStyle w:val="Default"/>
        <w:numPr>
          <w:ilvl w:val="1"/>
          <w:numId w:val="3"/>
        </w:numPr>
        <w:spacing w:after="120"/>
        <w:ind w:hanging="436"/>
        <w:rPr>
          <w:rFonts w:asciiTheme="minorHAnsi" w:hAnsiTheme="minorHAnsi"/>
          <w:sz w:val="22"/>
          <w:szCs w:val="22"/>
          <w:lang w:val="en-GB"/>
        </w:rPr>
      </w:pPr>
      <w:r w:rsidRPr="00797F90">
        <w:rPr>
          <w:rFonts w:asciiTheme="minorHAnsi" w:hAnsiTheme="minorHAnsi"/>
          <w:sz w:val="22"/>
          <w:szCs w:val="22"/>
          <w:lang w:val="en-GB"/>
        </w:rPr>
        <w:t>Should the screening report reach the conclusion that that plan will have a significant impact on the environment; a full SEA should be undertaken.</w:t>
      </w:r>
    </w:p>
    <w:p w:rsidR="00332742" w:rsidRPr="00A82BD4" w:rsidRDefault="00332742" w:rsidP="00332742">
      <w:pPr>
        <w:pStyle w:val="Default"/>
        <w:numPr>
          <w:ilvl w:val="1"/>
          <w:numId w:val="3"/>
        </w:numPr>
        <w:spacing w:after="120"/>
        <w:ind w:hanging="436"/>
        <w:rPr>
          <w:rFonts w:asciiTheme="minorHAnsi" w:hAnsiTheme="minorHAnsi"/>
          <w:sz w:val="22"/>
          <w:szCs w:val="22"/>
          <w:lang w:val="en-GB"/>
        </w:rPr>
      </w:pPr>
      <w:r w:rsidRPr="00C15D24">
        <w:rPr>
          <w:rFonts w:asciiTheme="minorHAnsi" w:hAnsiTheme="minorHAnsi"/>
          <w:sz w:val="22"/>
          <w:szCs w:val="22"/>
          <w:lang w:val="en-GB"/>
        </w:rPr>
        <w:t>If the conclusion is that a full SEA is not required, any</w:t>
      </w:r>
      <w:r>
        <w:rPr>
          <w:rFonts w:asciiTheme="minorHAnsi" w:hAnsiTheme="minorHAnsi"/>
          <w:sz w:val="22"/>
          <w:szCs w:val="22"/>
          <w:lang w:val="en-GB"/>
        </w:rPr>
        <w:t xml:space="preserve"> significant</w:t>
      </w:r>
      <w:r w:rsidRPr="00C15D24">
        <w:rPr>
          <w:rFonts w:asciiTheme="minorHAnsi" w:hAnsiTheme="minorHAnsi"/>
          <w:sz w:val="22"/>
          <w:szCs w:val="22"/>
          <w:lang w:val="en-GB"/>
        </w:rPr>
        <w:t xml:space="preserve"> variations or additions to the </w:t>
      </w:r>
      <w:r>
        <w:rPr>
          <w:rFonts w:asciiTheme="minorHAnsi" w:hAnsiTheme="minorHAnsi"/>
          <w:sz w:val="22"/>
          <w:szCs w:val="22"/>
          <w:lang w:val="en-GB"/>
        </w:rPr>
        <w:t>Neighbourhood Plan will also be subject to screening</w:t>
      </w:r>
      <w:r w:rsidRPr="00C15D24">
        <w:rPr>
          <w:rFonts w:asciiTheme="minorHAnsi" w:hAnsiTheme="minorHAnsi"/>
          <w:sz w:val="22"/>
          <w:szCs w:val="22"/>
          <w:lang w:val="en-GB"/>
        </w:rPr>
        <w:t>.</w:t>
      </w:r>
    </w:p>
    <w:p w:rsidR="00332742" w:rsidRDefault="00332742" w:rsidP="00332742">
      <w:pPr>
        <w:pStyle w:val="Default"/>
        <w:numPr>
          <w:ilvl w:val="1"/>
          <w:numId w:val="3"/>
        </w:numPr>
        <w:spacing w:after="120"/>
        <w:ind w:hanging="436"/>
        <w:rPr>
          <w:rFonts w:asciiTheme="minorHAnsi" w:hAnsiTheme="minorHAnsi"/>
          <w:sz w:val="22"/>
          <w:szCs w:val="22"/>
          <w:lang w:val="en-GB"/>
        </w:rPr>
      </w:pPr>
      <w:r>
        <w:rPr>
          <w:rFonts w:asciiTheme="minorHAnsi" w:hAnsiTheme="minorHAnsi"/>
          <w:sz w:val="22"/>
          <w:szCs w:val="22"/>
          <w:lang w:val="en-GB"/>
        </w:rPr>
        <w:t xml:space="preserve">An </w:t>
      </w:r>
      <w:r w:rsidRPr="002B1E43">
        <w:rPr>
          <w:rFonts w:asciiTheme="minorHAnsi" w:hAnsiTheme="minorHAnsi"/>
          <w:sz w:val="22"/>
          <w:szCs w:val="22"/>
          <w:lang w:val="en-GB"/>
        </w:rPr>
        <w:t>SEA</w:t>
      </w:r>
      <w:r>
        <w:rPr>
          <w:rFonts w:asciiTheme="minorHAnsi" w:hAnsiTheme="minorHAnsi"/>
          <w:sz w:val="22"/>
          <w:szCs w:val="22"/>
          <w:lang w:val="en-GB"/>
        </w:rPr>
        <w:t xml:space="preserve"> has</w:t>
      </w:r>
      <w:r w:rsidRPr="002B1E43">
        <w:rPr>
          <w:rFonts w:asciiTheme="minorHAnsi" w:hAnsiTheme="minorHAnsi"/>
          <w:sz w:val="22"/>
          <w:szCs w:val="22"/>
          <w:lang w:val="en-GB"/>
        </w:rPr>
        <w:t xml:space="preserve"> been </w:t>
      </w:r>
      <w:r>
        <w:rPr>
          <w:rFonts w:asciiTheme="minorHAnsi" w:hAnsiTheme="minorHAnsi"/>
          <w:sz w:val="22"/>
          <w:szCs w:val="22"/>
          <w:lang w:val="en-GB"/>
        </w:rPr>
        <w:t>undertaken as part of the adopted East Devon Local Plan 2013-2031 and has</w:t>
      </w:r>
      <w:r w:rsidRPr="002B1E43">
        <w:rPr>
          <w:rFonts w:asciiTheme="minorHAnsi" w:hAnsiTheme="minorHAnsi"/>
          <w:sz w:val="22"/>
          <w:szCs w:val="22"/>
          <w:lang w:val="en-GB"/>
        </w:rPr>
        <w:t xml:space="preserve"> been taken into account whilst undertaking this screening assessment.</w:t>
      </w:r>
    </w:p>
    <w:p w:rsidR="00332742" w:rsidRDefault="00332742" w:rsidP="00332742">
      <w:pPr>
        <w:rPr>
          <w:rFonts w:cs="Arial"/>
          <w:color w:val="000000"/>
        </w:rPr>
      </w:pPr>
      <w:r>
        <w:br w:type="page"/>
      </w:r>
    </w:p>
    <w:p w:rsidR="00332742" w:rsidRDefault="00332742" w:rsidP="00332742">
      <w:pPr>
        <w:pStyle w:val="Default"/>
        <w:spacing w:after="120"/>
      </w:pPr>
      <w:r w:rsidRPr="00797F90">
        <w:rPr>
          <w:rFonts w:asciiTheme="minorHAnsi" w:hAnsiTheme="minorHAnsi"/>
          <w:b/>
          <w:noProof/>
          <w:sz w:val="20"/>
          <w:szCs w:val="20"/>
          <w:lang w:val="en-GB"/>
        </w:rPr>
        <w:t xml:space="preserve">Figure 1: </w:t>
      </w:r>
      <w:r w:rsidRPr="00797F90">
        <w:rPr>
          <w:rFonts w:asciiTheme="minorHAnsi" w:hAnsiTheme="minorHAnsi" w:cs="Calibri,Bold"/>
          <w:b/>
          <w:bCs/>
          <w:sz w:val="20"/>
          <w:szCs w:val="20"/>
          <w:lang w:val="en-GB"/>
        </w:rPr>
        <w:t>Application of the SEA Directive to plans and programmes</w:t>
      </w:r>
      <w:r w:rsidRPr="00797F90">
        <w:rPr>
          <w:noProof/>
          <w:lang w:val="en-GB" w:eastAsia="en-GB"/>
        </w:rPr>
        <w:drawing>
          <wp:anchor distT="0" distB="0" distL="114300" distR="114300" simplePos="0" relativeHeight="251659264" behindDoc="1" locked="0" layoutInCell="1" allowOverlap="1" wp14:anchorId="3110BC1D" wp14:editId="6A0D6199">
            <wp:simplePos x="0" y="0"/>
            <wp:positionH relativeFrom="column">
              <wp:posOffset>19050</wp:posOffset>
            </wp:positionH>
            <wp:positionV relativeFrom="paragraph">
              <wp:posOffset>177165</wp:posOffset>
            </wp:positionV>
            <wp:extent cx="5775960" cy="6257925"/>
            <wp:effectExtent l="19050" t="0" r="0" b="0"/>
            <wp:wrapTight wrapText="bothSides">
              <wp:wrapPolygon edited="0">
                <wp:start x="-71" y="0"/>
                <wp:lineTo x="-71" y="21567"/>
                <wp:lineTo x="21586" y="21567"/>
                <wp:lineTo x="21586" y="0"/>
                <wp:lineTo x="-7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cstate="print">
                      <a:extLst>
                        <a:ext uri="{28A0092B-C50C-407E-A947-70E740481C1C}">
                          <a14:useLocalDpi xmlns:a14="http://schemas.microsoft.com/office/drawing/2010/main" val="0"/>
                        </a:ext>
                      </a:extLst>
                    </a:blip>
                    <a:srcRect t="3929"/>
                    <a:stretch>
                      <a:fillRect/>
                    </a:stretch>
                  </pic:blipFill>
                  <pic:spPr>
                    <a:xfrm>
                      <a:off x="0" y="0"/>
                      <a:ext cx="5775960" cy="6257925"/>
                    </a:xfrm>
                    <a:prstGeom prst="rect">
                      <a:avLst/>
                    </a:prstGeom>
                  </pic:spPr>
                </pic:pic>
              </a:graphicData>
            </a:graphic>
          </wp:anchor>
        </w:drawing>
      </w:r>
      <w:r w:rsidRPr="00CB7AA0">
        <w:rPr>
          <w:b/>
          <w:noProof/>
        </w:rPr>
        <w:br w:type="page"/>
      </w:r>
    </w:p>
    <w:p w:rsidR="00332742" w:rsidRPr="00CB774D" w:rsidRDefault="00332742" w:rsidP="00332742">
      <w:pPr>
        <w:pStyle w:val="Default"/>
        <w:spacing w:after="120"/>
        <w:rPr>
          <w:rFonts w:asciiTheme="minorHAnsi" w:hAnsiTheme="minorHAnsi"/>
          <w:b/>
          <w:sz w:val="22"/>
          <w:szCs w:val="22"/>
          <w:lang w:val="en-GB"/>
        </w:rPr>
      </w:pPr>
      <w:r>
        <w:rPr>
          <w:rFonts w:asciiTheme="minorHAnsi" w:hAnsiTheme="minorHAnsi"/>
          <w:b/>
          <w:sz w:val="22"/>
          <w:szCs w:val="22"/>
          <w:lang w:val="en-GB"/>
        </w:rPr>
        <w:t>3.0 Farringdon Neighbourhood Plan</w:t>
      </w:r>
    </w:p>
    <w:p w:rsidR="00332742" w:rsidRPr="00B430D6" w:rsidRDefault="00332742" w:rsidP="00332742">
      <w:pPr>
        <w:pStyle w:val="ListParagraph"/>
        <w:numPr>
          <w:ilvl w:val="0"/>
          <w:numId w:val="3"/>
        </w:numPr>
        <w:autoSpaceDE w:val="0"/>
        <w:autoSpaceDN w:val="0"/>
        <w:adjustRightInd w:val="0"/>
        <w:spacing w:after="120" w:line="240" w:lineRule="auto"/>
        <w:contextualSpacing w:val="0"/>
        <w:rPr>
          <w:rFonts w:cs="Arial"/>
          <w:vanish/>
          <w:color w:val="000000"/>
        </w:rPr>
      </w:pPr>
    </w:p>
    <w:p w:rsidR="00332742" w:rsidRDefault="00332742" w:rsidP="00332742">
      <w:pPr>
        <w:pStyle w:val="Default"/>
        <w:numPr>
          <w:ilvl w:val="1"/>
          <w:numId w:val="3"/>
        </w:numPr>
        <w:spacing w:after="120"/>
        <w:rPr>
          <w:rFonts w:asciiTheme="minorHAnsi" w:hAnsiTheme="minorHAnsi"/>
          <w:sz w:val="22"/>
          <w:szCs w:val="22"/>
          <w:lang w:val="en-GB"/>
        </w:rPr>
      </w:pPr>
      <w:r w:rsidRPr="00FE7FCC">
        <w:rPr>
          <w:rFonts w:asciiTheme="minorHAnsi" w:hAnsiTheme="minorHAnsi"/>
          <w:sz w:val="22"/>
          <w:szCs w:val="22"/>
          <w:lang w:val="en-GB"/>
        </w:rPr>
        <w:t xml:space="preserve">The </w:t>
      </w:r>
      <w:r>
        <w:rPr>
          <w:rFonts w:asciiTheme="minorHAnsi" w:hAnsiTheme="minorHAnsi"/>
          <w:sz w:val="22"/>
          <w:szCs w:val="22"/>
          <w:lang w:val="en-GB"/>
        </w:rPr>
        <w:t xml:space="preserve">Neighbourhood Plan has been in production for approximately </w:t>
      </w:r>
      <w:r w:rsidR="00602610">
        <w:rPr>
          <w:rFonts w:asciiTheme="minorHAnsi" w:hAnsiTheme="minorHAnsi"/>
          <w:sz w:val="22"/>
          <w:szCs w:val="22"/>
          <w:lang w:val="en-GB"/>
        </w:rPr>
        <w:t>four</w:t>
      </w:r>
      <w:r>
        <w:rPr>
          <w:rFonts w:asciiTheme="minorHAnsi" w:hAnsiTheme="minorHAnsi"/>
          <w:sz w:val="22"/>
          <w:szCs w:val="22"/>
          <w:lang w:val="en-GB"/>
        </w:rPr>
        <w:t xml:space="preserve"> years. It has undergone significant consultation and they are currently at a stage of </w:t>
      </w:r>
      <w:r w:rsidR="00602610">
        <w:rPr>
          <w:rFonts w:asciiTheme="minorHAnsi" w:hAnsiTheme="minorHAnsi"/>
          <w:sz w:val="22"/>
          <w:szCs w:val="22"/>
          <w:lang w:val="en-GB"/>
        </w:rPr>
        <w:t>finalising</w:t>
      </w:r>
      <w:r>
        <w:rPr>
          <w:rFonts w:asciiTheme="minorHAnsi" w:hAnsiTheme="minorHAnsi"/>
          <w:sz w:val="22"/>
          <w:szCs w:val="22"/>
          <w:lang w:val="en-GB"/>
        </w:rPr>
        <w:t xml:space="preserve"> draft proposals.</w:t>
      </w:r>
    </w:p>
    <w:p w:rsidR="00332742" w:rsidRPr="00CB7AA0" w:rsidRDefault="00332742" w:rsidP="00332742">
      <w:pPr>
        <w:pStyle w:val="Default"/>
        <w:numPr>
          <w:ilvl w:val="1"/>
          <w:numId w:val="3"/>
        </w:numPr>
        <w:spacing w:after="120"/>
        <w:rPr>
          <w:rFonts w:asciiTheme="minorHAnsi" w:hAnsiTheme="minorHAnsi"/>
          <w:sz w:val="22"/>
          <w:szCs w:val="22"/>
          <w:lang w:val="en-GB"/>
        </w:rPr>
      </w:pPr>
      <w:r>
        <w:rPr>
          <w:rFonts w:asciiTheme="minorHAnsi" w:hAnsiTheme="minorHAnsi"/>
          <w:sz w:val="22"/>
          <w:szCs w:val="22"/>
          <w:lang w:val="en-GB"/>
        </w:rPr>
        <w:t>East Devon District Council has been kept abreast of progress and has offered support and guidance to the Neighbourhood Plan group and therefore can be confident in the Plan’s direction of travel.</w:t>
      </w:r>
    </w:p>
    <w:p w:rsidR="008D5AB2" w:rsidRPr="008D5AB2" w:rsidRDefault="008D5AB2" w:rsidP="008D5AB2">
      <w:pPr>
        <w:pStyle w:val="ListParagraph"/>
        <w:numPr>
          <w:ilvl w:val="1"/>
          <w:numId w:val="3"/>
        </w:numPr>
        <w:rPr>
          <w:rFonts w:cs="Arial"/>
          <w:color w:val="000000"/>
        </w:rPr>
      </w:pPr>
      <w:r w:rsidRPr="008D5AB2">
        <w:rPr>
          <w:rFonts w:cs="Arial"/>
          <w:color w:val="000000"/>
        </w:rPr>
        <w:t xml:space="preserve">Farringdon does not have a Built-up Area Boundary in the recently adopted Local Plan and is generally not considered suitable for open market housing, unless otherwise promoted through a Neighbourhood Plan. </w:t>
      </w:r>
    </w:p>
    <w:p w:rsidR="00332742" w:rsidRDefault="00332742" w:rsidP="00332742">
      <w:pPr>
        <w:pStyle w:val="Default"/>
        <w:numPr>
          <w:ilvl w:val="1"/>
          <w:numId w:val="3"/>
        </w:numPr>
        <w:spacing w:after="120"/>
        <w:rPr>
          <w:rFonts w:asciiTheme="minorHAnsi" w:hAnsiTheme="minorHAnsi"/>
          <w:sz w:val="22"/>
          <w:szCs w:val="22"/>
          <w:lang w:val="en-GB"/>
        </w:rPr>
      </w:pPr>
      <w:r>
        <w:rPr>
          <w:rFonts w:asciiTheme="minorHAnsi" w:hAnsiTheme="minorHAnsi"/>
          <w:sz w:val="22"/>
          <w:szCs w:val="22"/>
          <w:lang w:val="en-GB"/>
        </w:rPr>
        <w:t xml:space="preserve">The key point of the Neighbourhood Plan is the group’s ambition to </w:t>
      </w:r>
      <w:r w:rsidR="00602610">
        <w:rPr>
          <w:rFonts w:asciiTheme="minorHAnsi" w:hAnsiTheme="minorHAnsi"/>
          <w:sz w:val="22"/>
          <w:szCs w:val="22"/>
          <w:lang w:val="en-GB"/>
        </w:rPr>
        <w:t xml:space="preserve">allow a small amount of </w:t>
      </w:r>
      <w:r>
        <w:rPr>
          <w:rFonts w:asciiTheme="minorHAnsi" w:hAnsiTheme="minorHAnsi"/>
          <w:sz w:val="22"/>
          <w:szCs w:val="22"/>
          <w:lang w:val="en-GB"/>
        </w:rPr>
        <w:t xml:space="preserve">development </w:t>
      </w:r>
      <w:r w:rsidR="00602610">
        <w:rPr>
          <w:rFonts w:asciiTheme="minorHAnsi" w:hAnsiTheme="minorHAnsi"/>
          <w:sz w:val="22"/>
          <w:szCs w:val="22"/>
          <w:lang w:val="en-GB"/>
        </w:rPr>
        <w:t>within the Parish to meet an identified need for self-build homes for older people wishing to downsize and remain in the Parish.</w:t>
      </w:r>
      <w:r>
        <w:rPr>
          <w:rFonts w:asciiTheme="minorHAnsi" w:hAnsiTheme="minorHAnsi"/>
          <w:sz w:val="22"/>
          <w:szCs w:val="22"/>
          <w:lang w:val="en-GB"/>
        </w:rPr>
        <w:t xml:space="preserve"> These proposals</w:t>
      </w:r>
      <w:r w:rsidR="00602610">
        <w:rPr>
          <w:rFonts w:asciiTheme="minorHAnsi" w:hAnsiTheme="minorHAnsi"/>
          <w:sz w:val="22"/>
          <w:szCs w:val="22"/>
          <w:lang w:val="en-GB"/>
        </w:rPr>
        <w:t xml:space="preserve">, limited to a maximum 12, single-storey, size-restricted, houses within existing gardens </w:t>
      </w:r>
      <w:r>
        <w:rPr>
          <w:rFonts w:asciiTheme="minorHAnsi" w:hAnsiTheme="minorHAnsi"/>
          <w:sz w:val="22"/>
          <w:szCs w:val="22"/>
          <w:lang w:val="en-GB"/>
        </w:rPr>
        <w:t xml:space="preserve">are not considered likely to result in a significant environmental effect. </w:t>
      </w:r>
      <w:r w:rsidR="008D5AB2">
        <w:rPr>
          <w:rFonts w:asciiTheme="minorHAnsi" w:hAnsiTheme="minorHAnsi"/>
          <w:sz w:val="22"/>
          <w:szCs w:val="22"/>
          <w:lang w:val="en-GB"/>
        </w:rPr>
        <w:t xml:space="preserve">As no specific sites are allocated, there is potential for applications to develop in the curtilage of, or in close proximity to, the 17 listed structures in Farringdon (including 2 Grade 11* listed), but Policy Farr5 is worded to ensure that the setting of heritage assets is taken into account. </w:t>
      </w:r>
      <w:r>
        <w:rPr>
          <w:rFonts w:asciiTheme="minorHAnsi" w:hAnsiTheme="minorHAnsi"/>
          <w:sz w:val="22"/>
          <w:szCs w:val="22"/>
          <w:lang w:val="en-GB"/>
        </w:rPr>
        <w:t>Whilst the plan will also include various other policies, they are fairly general in nature and are considered very unlikely to have a significant environmental effect. Should this circumstance change it will be important to rescreen the plan to take any changes into account.</w:t>
      </w:r>
    </w:p>
    <w:p w:rsidR="00332742" w:rsidRDefault="00332742" w:rsidP="00332742">
      <w:pPr>
        <w:pStyle w:val="Default"/>
        <w:numPr>
          <w:ilvl w:val="1"/>
          <w:numId w:val="3"/>
        </w:numPr>
        <w:spacing w:after="120"/>
        <w:rPr>
          <w:rFonts w:asciiTheme="minorHAnsi" w:hAnsiTheme="minorHAnsi"/>
          <w:sz w:val="22"/>
          <w:szCs w:val="22"/>
          <w:lang w:val="en-GB"/>
        </w:rPr>
      </w:pPr>
      <w:r>
        <w:rPr>
          <w:rFonts w:asciiTheme="minorHAnsi" w:hAnsiTheme="minorHAnsi"/>
          <w:sz w:val="22"/>
          <w:szCs w:val="22"/>
          <w:lang w:val="en-GB"/>
        </w:rPr>
        <w:t xml:space="preserve">On this basis, this screening report has considered the potential for significant environmental effects from the proposed </w:t>
      </w:r>
      <w:r w:rsidR="00602610">
        <w:rPr>
          <w:rFonts w:asciiTheme="minorHAnsi" w:hAnsiTheme="minorHAnsi"/>
          <w:sz w:val="22"/>
          <w:szCs w:val="22"/>
          <w:lang w:val="en-GB"/>
        </w:rPr>
        <w:t>new housing</w:t>
      </w:r>
      <w:r>
        <w:rPr>
          <w:rFonts w:asciiTheme="minorHAnsi" w:hAnsiTheme="minorHAnsi"/>
          <w:sz w:val="22"/>
          <w:szCs w:val="22"/>
          <w:lang w:val="en-GB"/>
        </w:rPr>
        <w:t xml:space="preserve">. </w:t>
      </w:r>
    </w:p>
    <w:p w:rsidR="00332742" w:rsidRDefault="00332742" w:rsidP="00332742">
      <w:pPr>
        <w:pStyle w:val="Default"/>
        <w:numPr>
          <w:ilvl w:val="1"/>
          <w:numId w:val="3"/>
        </w:numPr>
        <w:spacing w:after="120"/>
        <w:rPr>
          <w:rFonts w:asciiTheme="minorHAnsi" w:hAnsiTheme="minorHAnsi"/>
          <w:sz w:val="22"/>
          <w:szCs w:val="22"/>
          <w:lang w:val="en-GB"/>
        </w:rPr>
      </w:pPr>
      <w:r>
        <w:rPr>
          <w:rFonts w:asciiTheme="minorHAnsi" w:hAnsiTheme="minorHAnsi"/>
          <w:sz w:val="22"/>
          <w:szCs w:val="22"/>
          <w:lang w:val="en-GB"/>
        </w:rPr>
        <w:t xml:space="preserve">A draft of the Neighbourhood Plan is </w:t>
      </w:r>
      <w:r w:rsidR="00602610">
        <w:rPr>
          <w:rFonts w:asciiTheme="minorHAnsi" w:hAnsiTheme="minorHAnsi"/>
          <w:sz w:val="22"/>
          <w:szCs w:val="22"/>
          <w:lang w:val="en-GB"/>
        </w:rPr>
        <w:t>attached to the consultation and available on the website</w:t>
      </w:r>
      <w:r>
        <w:rPr>
          <w:rFonts w:asciiTheme="minorHAnsi" w:hAnsiTheme="minorHAnsi"/>
          <w:sz w:val="22"/>
          <w:szCs w:val="22"/>
          <w:lang w:val="en-GB"/>
        </w:rPr>
        <w:t>.</w:t>
      </w:r>
    </w:p>
    <w:p w:rsidR="00332742" w:rsidRDefault="00332742" w:rsidP="00332742">
      <w:pPr>
        <w:rPr>
          <w:rFonts w:cs="Arial"/>
          <w:b/>
          <w:noProof/>
          <w:color w:val="000000"/>
          <w:sz w:val="20"/>
          <w:szCs w:val="20"/>
        </w:rPr>
      </w:pPr>
      <w:r>
        <w:rPr>
          <w:b/>
          <w:noProof/>
          <w:sz w:val="20"/>
          <w:szCs w:val="20"/>
        </w:rPr>
        <w:br w:type="page"/>
      </w:r>
    </w:p>
    <w:p w:rsidR="00332742" w:rsidRPr="00797F90" w:rsidRDefault="00332742" w:rsidP="00332742">
      <w:pPr>
        <w:rPr>
          <w:noProof/>
        </w:rPr>
      </w:pPr>
      <w:r w:rsidRPr="00797F90">
        <w:rPr>
          <w:b/>
          <w:noProof/>
        </w:rPr>
        <w:t>Figure 2:</w:t>
      </w:r>
      <w:r w:rsidRPr="00797F90">
        <w:rPr>
          <w:noProof/>
        </w:rPr>
        <w:t xml:space="preserve"> Screening assessment against the criteria for whether the</w:t>
      </w:r>
      <w:r>
        <w:rPr>
          <w:noProof/>
        </w:rPr>
        <w:t xml:space="preserve"> FNP requires an SEA</w:t>
      </w:r>
      <w:r w:rsidRPr="00797F90">
        <w:rPr>
          <w:noProof/>
        </w:rPr>
        <w:t>.</w:t>
      </w:r>
    </w:p>
    <w:tbl>
      <w:tblPr>
        <w:tblW w:w="0" w:type="auto"/>
        <w:tblLook w:val="04A0" w:firstRow="1" w:lastRow="0" w:firstColumn="1" w:lastColumn="0" w:noHBand="0" w:noVBand="1"/>
      </w:tblPr>
      <w:tblGrid>
        <w:gridCol w:w="4213"/>
        <w:gridCol w:w="570"/>
        <w:gridCol w:w="4157"/>
      </w:tblGrid>
      <w:tr w:rsidR="00332742" w:rsidRPr="00797F90" w:rsidTr="00D3777A">
        <w:tc>
          <w:tcPr>
            <w:tcW w:w="4503" w:type="dxa"/>
            <w:tcBorders>
              <w:bottom w:val="single" w:sz="4" w:space="0" w:color="auto"/>
            </w:tcBorders>
          </w:tcPr>
          <w:p w:rsidR="00332742" w:rsidRPr="00797F90" w:rsidRDefault="00332742" w:rsidP="00D3777A">
            <w:pPr>
              <w:autoSpaceDE w:val="0"/>
              <w:autoSpaceDN w:val="0"/>
              <w:adjustRightInd w:val="0"/>
              <w:rPr>
                <w:b/>
              </w:rPr>
            </w:pPr>
            <w:r w:rsidRPr="00797F90">
              <w:rPr>
                <w:b/>
              </w:rPr>
              <w:t>Stage</w:t>
            </w:r>
          </w:p>
        </w:tc>
        <w:tc>
          <w:tcPr>
            <w:tcW w:w="570" w:type="dxa"/>
            <w:tcBorders>
              <w:bottom w:val="single" w:sz="4" w:space="0" w:color="auto"/>
            </w:tcBorders>
          </w:tcPr>
          <w:p w:rsidR="00332742" w:rsidRPr="00797F90" w:rsidRDefault="00332742" w:rsidP="00D3777A">
            <w:pPr>
              <w:autoSpaceDE w:val="0"/>
              <w:autoSpaceDN w:val="0"/>
              <w:adjustRightInd w:val="0"/>
              <w:rPr>
                <w:b/>
              </w:rPr>
            </w:pPr>
            <w:r w:rsidRPr="00797F90">
              <w:rPr>
                <w:b/>
              </w:rPr>
              <w:t>Y/N</w:t>
            </w:r>
          </w:p>
        </w:tc>
        <w:tc>
          <w:tcPr>
            <w:tcW w:w="4503" w:type="dxa"/>
            <w:tcBorders>
              <w:bottom w:val="single" w:sz="4" w:space="0" w:color="auto"/>
            </w:tcBorders>
          </w:tcPr>
          <w:p w:rsidR="00332742" w:rsidRPr="00797F90" w:rsidRDefault="00332742" w:rsidP="00D3777A">
            <w:pPr>
              <w:autoSpaceDE w:val="0"/>
              <w:autoSpaceDN w:val="0"/>
              <w:adjustRightInd w:val="0"/>
              <w:rPr>
                <w:b/>
              </w:rPr>
            </w:pPr>
            <w:r w:rsidRPr="00797F90">
              <w:rPr>
                <w:b/>
              </w:rPr>
              <w:t>Reason</w:t>
            </w:r>
          </w:p>
        </w:tc>
      </w:tr>
      <w:tr w:rsidR="00332742" w:rsidRPr="00797F90" w:rsidTr="00D3777A">
        <w:tc>
          <w:tcPr>
            <w:tcW w:w="4503" w:type="dxa"/>
            <w:tcBorders>
              <w:bottom w:val="single" w:sz="4" w:space="0" w:color="auto"/>
            </w:tcBorders>
          </w:tcPr>
          <w:p w:rsidR="00332742" w:rsidRPr="00797F90" w:rsidRDefault="00332742" w:rsidP="00D3777A">
            <w:pPr>
              <w:autoSpaceDE w:val="0"/>
              <w:autoSpaceDN w:val="0"/>
              <w:adjustRightInd w:val="0"/>
            </w:pPr>
            <w:r w:rsidRPr="00797F90">
              <w:t>Is the</w:t>
            </w:r>
            <w:r>
              <w:t xml:space="preserve"> FNP </w:t>
            </w:r>
            <w:r w:rsidRPr="00797F90">
              <w:t xml:space="preserve">subject to preparation and/or adoption by a national, regional or local authority OR prepared by an authority for adoption through a legislative procedure by Parliament or Government? (Art. 2(a)) </w:t>
            </w:r>
          </w:p>
        </w:tc>
        <w:tc>
          <w:tcPr>
            <w:tcW w:w="570" w:type="dxa"/>
            <w:tcBorders>
              <w:bottom w:val="single" w:sz="4" w:space="0" w:color="auto"/>
            </w:tcBorders>
          </w:tcPr>
          <w:p w:rsidR="00332742" w:rsidRPr="00797F90" w:rsidRDefault="00332742" w:rsidP="00D3777A">
            <w:pPr>
              <w:autoSpaceDE w:val="0"/>
              <w:autoSpaceDN w:val="0"/>
              <w:adjustRightInd w:val="0"/>
            </w:pPr>
            <w:r w:rsidRPr="00797F90">
              <w:t>Y</w:t>
            </w:r>
          </w:p>
        </w:tc>
        <w:tc>
          <w:tcPr>
            <w:tcW w:w="4503" w:type="dxa"/>
            <w:tcBorders>
              <w:bottom w:val="single" w:sz="4" w:space="0" w:color="auto"/>
            </w:tcBorders>
          </w:tcPr>
          <w:p w:rsidR="00332742" w:rsidRPr="00797F90" w:rsidRDefault="00332742" w:rsidP="00D3777A">
            <w:pPr>
              <w:autoSpaceDE w:val="0"/>
              <w:autoSpaceDN w:val="0"/>
              <w:adjustRightInd w:val="0"/>
            </w:pPr>
            <w:r w:rsidRPr="00797F90">
              <w:t>The Plan will be prepared by the Parish and adopted by East Devon District Council as part of the Development Framework, subject to a successful referendum.</w:t>
            </w:r>
          </w:p>
        </w:tc>
      </w:tr>
      <w:tr w:rsidR="00332742" w:rsidRPr="00797F90" w:rsidTr="00D3777A">
        <w:tc>
          <w:tcPr>
            <w:tcW w:w="9576" w:type="dxa"/>
            <w:gridSpan w:val="3"/>
            <w:tcBorders>
              <w:top w:val="single" w:sz="4" w:space="0" w:color="auto"/>
              <w:left w:val="nil"/>
              <w:bottom w:val="single" w:sz="4" w:space="0" w:color="auto"/>
              <w:right w:val="nil"/>
            </w:tcBorders>
          </w:tcPr>
          <w:p w:rsidR="00332742" w:rsidRPr="00797F90" w:rsidRDefault="00332742" w:rsidP="00D3777A">
            <w:pPr>
              <w:autoSpaceDE w:val="0"/>
              <w:autoSpaceDN w:val="0"/>
              <w:adjustRightInd w:val="0"/>
              <w:jc w:val="center"/>
            </w:pPr>
            <w:r>
              <w:rPr>
                <w:noProof/>
                <w:lang w:eastAsia="en-GB"/>
              </w:rPr>
              <mc:AlternateContent>
                <mc:Choice Requires="wps">
                  <w:drawing>
                    <wp:anchor distT="0" distB="0" distL="114300" distR="114300" simplePos="0" relativeHeight="251660288" behindDoc="0" locked="0" layoutInCell="1" allowOverlap="1" wp14:anchorId="1E662C36" wp14:editId="50BAD03C">
                      <wp:simplePos x="0" y="0"/>
                      <wp:positionH relativeFrom="column">
                        <wp:posOffset>2954020</wp:posOffset>
                      </wp:positionH>
                      <wp:positionV relativeFrom="paragraph">
                        <wp:posOffset>38100</wp:posOffset>
                      </wp:positionV>
                      <wp:extent cx="635" cy="275590"/>
                      <wp:effectExtent l="58420" t="12700" r="55245" b="165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1209A" id="_x0000_t32" coordsize="21600,21600" o:spt="32" o:oned="t" path="m,l21600,21600e" filled="f">
                      <v:path arrowok="t" fillok="f" o:connecttype="none"/>
                      <o:lock v:ext="edit" shapetype="t"/>
                    </v:shapetype>
                    <v:shape id="Straight Arrow Connector 14" o:spid="_x0000_s1026" type="#_x0000_t32" style="position:absolute;margin-left:232.6pt;margin-top:3pt;width:.0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">
                      <v:stroke endarrow="block"/>
                    </v:shape>
                  </w:pict>
                </mc:Fallback>
              </mc:AlternateContent>
            </w:r>
          </w:p>
        </w:tc>
      </w:tr>
      <w:tr w:rsidR="00332742" w:rsidRPr="00797F90" w:rsidTr="00D3777A">
        <w:tc>
          <w:tcPr>
            <w:tcW w:w="4503" w:type="dxa"/>
            <w:tcBorders>
              <w:top w:val="single" w:sz="4" w:space="0" w:color="auto"/>
              <w:bottom w:val="single" w:sz="4" w:space="0" w:color="auto"/>
            </w:tcBorders>
          </w:tcPr>
          <w:p w:rsidR="00332742" w:rsidRPr="00797F90" w:rsidRDefault="00332742" w:rsidP="00D3777A">
            <w:pPr>
              <w:autoSpaceDE w:val="0"/>
              <w:autoSpaceDN w:val="0"/>
              <w:adjustRightInd w:val="0"/>
              <w:rPr>
                <w:rFonts w:cs="Arial"/>
              </w:rPr>
            </w:pPr>
            <w:r w:rsidRPr="00797F90">
              <w:rPr>
                <w:rFonts w:cs="Arial"/>
              </w:rPr>
              <w:t>Is the</w:t>
            </w:r>
            <w:r>
              <w:rPr>
                <w:rFonts w:cs="Arial"/>
              </w:rPr>
              <w:t xml:space="preserve"> FNP </w:t>
            </w:r>
            <w:r w:rsidRPr="00797F90">
              <w:rPr>
                <w:rFonts w:cs="Arial"/>
              </w:rPr>
              <w:t>required by legislative, regulatory or administrative provisions? (Art. 2(a))</w:t>
            </w:r>
          </w:p>
        </w:tc>
        <w:tc>
          <w:tcPr>
            <w:tcW w:w="570" w:type="dxa"/>
            <w:tcBorders>
              <w:top w:val="single" w:sz="4" w:space="0" w:color="auto"/>
              <w:bottom w:val="single" w:sz="4" w:space="0" w:color="auto"/>
            </w:tcBorders>
          </w:tcPr>
          <w:p w:rsidR="00332742" w:rsidRPr="00797F90" w:rsidRDefault="00332742" w:rsidP="00D3777A">
            <w:pPr>
              <w:autoSpaceDE w:val="0"/>
              <w:autoSpaceDN w:val="0"/>
              <w:adjustRightInd w:val="0"/>
            </w:pPr>
            <w:r w:rsidRPr="00797F90">
              <w:t>Y</w:t>
            </w:r>
          </w:p>
        </w:tc>
        <w:tc>
          <w:tcPr>
            <w:tcW w:w="4503" w:type="dxa"/>
            <w:tcBorders>
              <w:top w:val="single" w:sz="4" w:space="0" w:color="auto"/>
              <w:bottom w:val="single" w:sz="4" w:space="0" w:color="auto"/>
            </w:tcBorders>
          </w:tcPr>
          <w:p w:rsidR="00332742" w:rsidRPr="00797F90" w:rsidRDefault="00332742" w:rsidP="00D3777A">
            <w:pPr>
              <w:autoSpaceDE w:val="0"/>
              <w:autoSpaceDN w:val="0"/>
              <w:adjustRightInd w:val="0"/>
            </w:pPr>
            <w:r w:rsidRPr="00797F90">
              <w:t xml:space="preserve">The Plan meets the characteristics set out in the Government’s Practical Guide to the SEA Directive in that </w:t>
            </w:r>
            <w:r w:rsidRPr="00797F90">
              <w:rPr>
                <w:rFonts w:cs="GaramondITCbyBT-Light"/>
              </w:rPr>
              <w:t>that it will be publicly available, prepared in a formal way and probably involving consultation with interested parties.</w:t>
            </w:r>
          </w:p>
        </w:tc>
      </w:tr>
      <w:tr w:rsidR="00332742" w:rsidRPr="00797F90" w:rsidTr="00D3777A">
        <w:tc>
          <w:tcPr>
            <w:tcW w:w="9576" w:type="dxa"/>
            <w:gridSpan w:val="3"/>
            <w:tcBorders>
              <w:top w:val="single" w:sz="4" w:space="0" w:color="auto"/>
              <w:left w:val="nil"/>
              <w:right w:val="nil"/>
            </w:tcBorders>
          </w:tcPr>
          <w:p w:rsidR="00332742" w:rsidRPr="00797F90" w:rsidRDefault="00332742" w:rsidP="00D3777A">
            <w:pPr>
              <w:autoSpaceDE w:val="0"/>
              <w:autoSpaceDN w:val="0"/>
              <w:adjustRightInd w:val="0"/>
            </w:pPr>
            <w:r>
              <w:rPr>
                <w:noProof/>
                <w:lang w:eastAsia="en-GB"/>
              </w:rPr>
              <mc:AlternateContent>
                <mc:Choice Requires="wps">
                  <w:drawing>
                    <wp:anchor distT="0" distB="0" distL="114300" distR="114300" simplePos="0" relativeHeight="251661312" behindDoc="0" locked="0" layoutInCell="1" allowOverlap="1" wp14:anchorId="29D3659D" wp14:editId="2DEE0D61">
                      <wp:simplePos x="0" y="0"/>
                      <wp:positionH relativeFrom="column">
                        <wp:posOffset>2951480</wp:posOffset>
                      </wp:positionH>
                      <wp:positionV relativeFrom="paragraph">
                        <wp:posOffset>43815</wp:posOffset>
                      </wp:positionV>
                      <wp:extent cx="635" cy="275590"/>
                      <wp:effectExtent l="55880" t="5080" r="57785" b="1460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FEA6C" id="Straight Arrow Connector 13" o:spid="_x0000_s1026" type="#_x0000_t32" style="position:absolute;margin-left:232.4pt;margin-top:3.45pt;width:.0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">
                      <v:stroke endarrow="block"/>
                    </v:shape>
                  </w:pict>
                </mc:Fallback>
              </mc:AlternateContent>
            </w:r>
          </w:p>
        </w:tc>
      </w:tr>
      <w:tr w:rsidR="00332742" w:rsidRPr="00797F90" w:rsidTr="00D3777A">
        <w:tc>
          <w:tcPr>
            <w:tcW w:w="4503" w:type="dxa"/>
            <w:tcBorders>
              <w:bottom w:val="single" w:sz="4" w:space="0" w:color="auto"/>
            </w:tcBorders>
          </w:tcPr>
          <w:p w:rsidR="00332742" w:rsidRPr="00797F90" w:rsidRDefault="00332742" w:rsidP="00D3777A">
            <w:pPr>
              <w:autoSpaceDE w:val="0"/>
              <w:autoSpaceDN w:val="0"/>
              <w:adjustRightInd w:val="0"/>
              <w:rPr>
                <w:rFonts w:cs="Arial"/>
              </w:rPr>
            </w:pPr>
            <w:r w:rsidRPr="00797F90">
              <w:rPr>
                <w:rFonts w:cs="Arial"/>
              </w:rPr>
              <w:t>Is the</w:t>
            </w:r>
            <w:r>
              <w:rPr>
                <w:rFonts w:cs="Arial"/>
              </w:rPr>
              <w:t xml:space="preserve"> FNP </w:t>
            </w:r>
            <w:r w:rsidRPr="00797F90">
              <w:rPr>
                <w:rFonts w:cs="Arial"/>
              </w:rPr>
              <w:t xml:space="preserve">prepared for agriculture, forestry, fisheries, energy, industry, transport, waste management, water management, telecommunications, tourism, town and country planning or land use, </w:t>
            </w:r>
            <w:r w:rsidRPr="00797F90">
              <w:rPr>
                <w:rFonts w:cs="Arial"/>
                <w:b/>
                <w:bCs/>
              </w:rPr>
              <w:t xml:space="preserve">AND </w:t>
            </w:r>
            <w:r w:rsidRPr="00797F90">
              <w:rPr>
                <w:rFonts w:cs="Arial"/>
              </w:rPr>
              <w:t>does it set a framework for future development consent of projects in Annexes I and II to the EIA Directive? (Art 3.2(a))</w:t>
            </w:r>
          </w:p>
        </w:tc>
        <w:tc>
          <w:tcPr>
            <w:tcW w:w="570" w:type="dxa"/>
            <w:tcBorders>
              <w:bottom w:val="single" w:sz="4" w:space="0" w:color="auto"/>
            </w:tcBorders>
          </w:tcPr>
          <w:p w:rsidR="00332742" w:rsidRPr="00797F90" w:rsidRDefault="00332742" w:rsidP="00D3777A">
            <w:pPr>
              <w:autoSpaceDE w:val="0"/>
              <w:autoSpaceDN w:val="0"/>
              <w:adjustRightInd w:val="0"/>
            </w:pPr>
            <w:r w:rsidRPr="00797F90">
              <w:t>Y</w:t>
            </w:r>
          </w:p>
        </w:tc>
        <w:tc>
          <w:tcPr>
            <w:tcW w:w="4503" w:type="dxa"/>
            <w:tcBorders>
              <w:bottom w:val="single" w:sz="4" w:space="0" w:color="auto"/>
            </w:tcBorders>
          </w:tcPr>
          <w:p w:rsidR="00332742" w:rsidRPr="00797F90" w:rsidRDefault="00332742" w:rsidP="00D3777A">
            <w:pPr>
              <w:autoSpaceDE w:val="0"/>
              <w:autoSpaceDN w:val="0"/>
              <w:adjustRightInd w:val="0"/>
              <w:rPr>
                <w:rFonts w:cs="Calibri"/>
              </w:rPr>
            </w:pPr>
            <w:r w:rsidRPr="00797F90">
              <w:t>The NP is prepared for Town and Country Planning and land use and may</w:t>
            </w:r>
            <w:r w:rsidRPr="00797F90">
              <w:rPr>
                <w:rFonts w:cs="Calibri"/>
              </w:rPr>
              <w:t xml:space="preserve"> provide the framework for development of a scale that would fall within Annex II of the EIA Directive at a Neighbourhood Area level.</w:t>
            </w:r>
          </w:p>
        </w:tc>
      </w:tr>
      <w:tr w:rsidR="00332742" w:rsidRPr="00797F90" w:rsidTr="00D3777A">
        <w:tc>
          <w:tcPr>
            <w:tcW w:w="9576" w:type="dxa"/>
            <w:gridSpan w:val="3"/>
            <w:tcBorders>
              <w:left w:val="nil"/>
              <w:right w:val="nil"/>
            </w:tcBorders>
          </w:tcPr>
          <w:p w:rsidR="00332742" w:rsidRPr="00797F90" w:rsidRDefault="00332742" w:rsidP="00D3777A">
            <w:pPr>
              <w:autoSpaceDE w:val="0"/>
              <w:autoSpaceDN w:val="0"/>
              <w:adjustRightInd w:val="0"/>
            </w:pPr>
            <w:r>
              <w:rPr>
                <w:noProof/>
                <w:lang w:eastAsia="en-GB"/>
              </w:rPr>
              <mc:AlternateContent>
                <mc:Choice Requires="wps">
                  <w:drawing>
                    <wp:anchor distT="0" distB="0" distL="114300" distR="114300" simplePos="0" relativeHeight="251662336" behindDoc="0" locked="0" layoutInCell="1" allowOverlap="1" wp14:anchorId="208417CF" wp14:editId="06922450">
                      <wp:simplePos x="0" y="0"/>
                      <wp:positionH relativeFrom="column">
                        <wp:posOffset>2962910</wp:posOffset>
                      </wp:positionH>
                      <wp:positionV relativeFrom="paragraph">
                        <wp:posOffset>33655</wp:posOffset>
                      </wp:positionV>
                      <wp:extent cx="635" cy="275590"/>
                      <wp:effectExtent l="57785" t="7620" r="55880" b="215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A9C0A" id="Straight Arrow Connector 12" o:spid="_x0000_s1026" type="#_x0000_t32" style="position:absolute;margin-left:233.3pt;margin-top:2.65pt;width:.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">
                      <v:stroke endarrow="block"/>
                    </v:shape>
                  </w:pict>
                </mc:Fallback>
              </mc:AlternateContent>
            </w:r>
          </w:p>
        </w:tc>
      </w:tr>
      <w:tr w:rsidR="00332742" w:rsidRPr="00797F90" w:rsidTr="00D3777A">
        <w:tc>
          <w:tcPr>
            <w:tcW w:w="4503" w:type="dxa"/>
            <w:tcBorders>
              <w:bottom w:val="single" w:sz="4" w:space="0" w:color="auto"/>
            </w:tcBorders>
          </w:tcPr>
          <w:p w:rsidR="00332742" w:rsidRPr="00797F90" w:rsidRDefault="00332742" w:rsidP="00D3777A">
            <w:pPr>
              <w:autoSpaceDE w:val="0"/>
              <w:autoSpaceDN w:val="0"/>
              <w:adjustRightInd w:val="0"/>
              <w:rPr>
                <w:rFonts w:cs="Arial"/>
              </w:rPr>
            </w:pPr>
            <w:r w:rsidRPr="00797F90">
              <w:rPr>
                <w:rFonts w:cs="Arial"/>
              </w:rPr>
              <w:t>Does the</w:t>
            </w:r>
            <w:r>
              <w:rPr>
                <w:rFonts w:cs="Arial"/>
              </w:rPr>
              <w:t xml:space="preserve"> FNP </w:t>
            </w:r>
            <w:r w:rsidRPr="00797F90">
              <w:rPr>
                <w:rFonts w:cs="Arial"/>
              </w:rPr>
              <w:t>determine the use of small areas at local level, OR is it a minor modification of a PP subject to Art. 3.2? (Art. 3.3)</w:t>
            </w:r>
          </w:p>
        </w:tc>
        <w:tc>
          <w:tcPr>
            <w:tcW w:w="570" w:type="dxa"/>
            <w:tcBorders>
              <w:bottom w:val="single" w:sz="4" w:space="0" w:color="auto"/>
            </w:tcBorders>
          </w:tcPr>
          <w:p w:rsidR="00332742" w:rsidRPr="00797F90" w:rsidRDefault="00332742" w:rsidP="00D3777A">
            <w:pPr>
              <w:autoSpaceDE w:val="0"/>
              <w:autoSpaceDN w:val="0"/>
              <w:adjustRightInd w:val="0"/>
            </w:pPr>
            <w:r w:rsidRPr="00797F90">
              <w:t>Y</w:t>
            </w:r>
          </w:p>
        </w:tc>
        <w:tc>
          <w:tcPr>
            <w:tcW w:w="4503" w:type="dxa"/>
            <w:tcBorders>
              <w:bottom w:val="single" w:sz="4" w:space="0" w:color="auto"/>
            </w:tcBorders>
          </w:tcPr>
          <w:p w:rsidR="00332742" w:rsidRPr="00797F90" w:rsidRDefault="00332742" w:rsidP="00D3777A">
            <w:pPr>
              <w:autoSpaceDE w:val="0"/>
              <w:autoSpaceDN w:val="0"/>
              <w:adjustRightInd w:val="0"/>
              <w:rPr>
                <w:rFonts w:cs="Calibri"/>
              </w:rPr>
            </w:pPr>
            <w:r>
              <w:rPr>
                <w:rFonts w:cs="Calibri"/>
              </w:rPr>
              <w:t>The NDP will</w:t>
            </w:r>
            <w:r w:rsidRPr="00797F90">
              <w:rPr>
                <w:rFonts w:cs="Calibri"/>
              </w:rPr>
              <w:t xml:space="preserve"> determine the use of small areas at a local level.</w:t>
            </w:r>
          </w:p>
        </w:tc>
      </w:tr>
      <w:tr w:rsidR="00332742" w:rsidRPr="00797F90" w:rsidTr="00D3777A">
        <w:tc>
          <w:tcPr>
            <w:tcW w:w="9576" w:type="dxa"/>
            <w:gridSpan w:val="3"/>
            <w:tcBorders>
              <w:left w:val="nil"/>
              <w:right w:val="nil"/>
            </w:tcBorders>
          </w:tcPr>
          <w:p w:rsidR="00332742" w:rsidRPr="00797F90" w:rsidRDefault="00332742" w:rsidP="00D3777A">
            <w:pPr>
              <w:autoSpaceDE w:val="0"/>
              <w:autoSpaceDN w:val="0"/>
              <w:adjustRightInd w:val="0"/>
              <w:rPr>
                <w:rFonts w:cs="Calibri"/>
              </w:rPr>
            </w:pPr>
            <w:r>
              <w:rPr>
                <w:rFonts w:cs="Calibri"/>
                <w:noProof/>
                <w:lang w:eastAsia="en-GB"/>
              </w:rPr>
              <mc:AlternateContent>
                <mc:Choice Requires="wps">
                  <w:drawing>
                    <wp:anchor distT="0" distB="0" distL="114300" distR="114300" simplePos="0" relativeHeight="251663360" behindDoc="0" locked="0" layoutInCell="1" allowOverlap="1" wp14:anchorId="2F87C8CF" wp14:editId="072F8C70">
                      <wp:simplePos x="0" y="0"/>
                      <wp:positionH relativeFrom="column">
                        <wp:posOffset>2950845</wp:posOffset>
                      </wp:positionH>
                      <wp:positionV relativeFrom="paragraph">
                        <wp:posOffset>29210</wp:posOffset>
                      </wp:positionV>
                      <wp:extent cx="635" cy="275590"/>
                      <wp:effectExtent l="55245" t="10160" r="5842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6B0C2" id="Straight Arrow Connector 11" o:spid="_x0000_s1026" type="#_x0000_t32" style="position:absolute;margin-left:232.35pt;margin-top:2.3pt;width:.0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">
                      <v:stroke endarrow="block"/>
                    </v:shape>
                  </w:pict>
                </mc:Fallback>
              </mc:AlternateContent>
            </w:r>
          </w:p>
        </w:tc>
      </w:tr>
      <w:tr w:rsidR="00332742" w:rsidRPr="00797F90" w:rsidTr="00D3777A">
        <w:tc>
          <w:tcPr>
            <w:tcW w:w="4503" w:type="dxa"/>
            <w:tcBorders>
              <w:bottom w:val="single" w:sz="4" w:space="0" w:color="auto"/>
            </w:tcBorders>
          </w:tcPr>
          <w:p w:rsidR="00332742" w:rsidRPr="00797F90" w:rsidRDefault="00332742" w:rsidP="00D3777A">
            <w:pPr>
              <w:autoSpaceDE w:val="0"/>
              <w:autoSpaceDN w:val="0"/>
              <w:adjustRightInd w:val="0"/>
              <w:rPr>
                <w:rFonts w:cs="Arial"/>
              </w:rPr>
            </w:pPr>
            <w:r w:rsidRPr="00797F90">
              <w:rPr>
                <w:rFonts w:cs="Arial"/>
              </w:rPr>
              <w:t>Is it likely to have a significant effect on the environment? (Art. 3.5)</w:t>
            </w:r>
          </w:p>
        </w:tc>
        <w:tc>
          <w:tcPr>
            <w:tcW w:w="570" w:type="dxa"/>
            <w:tcBorders>
              <w:bottom w:val="single" w:sz="4" w:space="0" w:color="auto"/>
            </w:tcBorders>
          </w:tcPr>
          <w:p w:rsidR="00332742" w:rsidRPr="00797F90" w:rsidRDefault="00332742" w:rsidP="00D3777A">
            <w:pPr>
              <w:autoSpaceDE w:val="0"/>
              <w:autoSpaceDN w:val="0"/>
              <w:adjustRightInd w:val="0"/>
            </w:pPr>
            <w:r w:rsidRPr="00797F90">
              <w:t>N</w:t>
            </w:r>
          </w:p>
        </w:tc>
        <w:tc>
          <w:tcPr>
            <w:tcW w:w="4503" w:type="dxa"/>
            <w:tcBorders>
              <w:bottom w:val="single" w:sz="4" w:space="0" w:color="auto"/>
            </w:tcBorders>
          </w:tcPr>
          <w:p w:rsidR="00332742" w:rsidRPr="00797F90" w:rsidRDefault="00332742" w:rsidP="00D3777A">
            <w:pPr>
              <w:autoSpaceDE w:val="0"/>
              <w:autoSpaceDN w:val="0"/>
              <w:adjustRightInd w:val="0"/>
            </w:pPr>
            <w:r w:rsidRPr="00797F90">
              <w:t xml:space="preserve">See screening assessment for environmental effects in </w:t>
            </w:r>
            <w:r>
              <w:t>figure 3</w:t>
            </w:r>
            <w:r w:rsidRPr="00797F90">
              <w:t xml:space="preserve"> of this report.</w:t>
            </w:r>
          </w:p>
        </w:tc>
      </w:tr>
    </w:tbl>
    <w:p w:rsidR="00332742" w:rsidRPr="00797F90" w:rsidRDefault="00332742" w:rsidP="00332742">
      <w:pPr>
        <w:jc w:val="center"/>
      </w:pPr>
    </w:p>
    <w:p w:rsidR="00332742" w:rsidRPr="00797F90" w:rsidRDefault="00332742" w:rsidP="00332742">
      <w:pPr>
        <w:jc w:val="center"/>
        <w:rPr>
          <w:b/>
        </w:rPr>
      </w:pPr>
      <w:r>
        <w:rPr>
          <w:b/>
          <w:sz w:val="32"/>
          <w:szCs w:val="32"/>
        </w:rPr>
        <w:t>Directive Does Not Require SEA</w:t>
      </w:r>
      <w:r w:rsidRPr="00797F90">
        <w:rPr>
          <w:b/>
        </w:rPr>
        <w:br w:type="page"/>
      </w:r>
    </w:p>
    <w:p w:rsidR="00332742" w:rsidRPr="000C20EF" w:rsidRDefault="00332742" w:rsidP="00332742">
      <w:pPr>
        <w:pStyle w:val="Default"/>
        <w:spacing w:after="120"/>
        <w:rPr>
          <w:rFonts w:asciiTheme="minorHAnsi" w:hAnsiTheme="minorHAnsi"/>
          <w:b/>
          <w:sz w:val="22"/>
          <w:szCs w:val="22"/>
          <w:lang w:val="en-GB"/>
        </w:rPr>
      </w:pPr>
      <w:r>
        <w:rPr>
          <w:rFonts w:asciiTheme="minorHAnsi" w:hAnsiTheme="minorHAnsi"/>
          <w:b/>
          <w:sz w:val="22"/>
          <w:szCs w:val="22"/>
          <w:lang w:val="en-GB"/>
        </w:rPr>
        <w:t xml:space="preserve">4.0 </w:t>
      </w:r>
      <w:r w:rsidRPr="000C20EF">
        <w:rPr>
          <w:rFonts w:asciiTheme="minorHAnsi" w:hAnsiTheme="minorHAnsi"/>
          <w:b/>
          <w:sz w:val="22"/>
          <w:szCs w:val="22"/>
        </w:rPr>
        <w:t>Screening Assessment for Environmental effects</w:t>
      </w:r>
    </w:p>
    <w:p w:rsidR="00332742" w:rsidRPr="000C20EF" w:rsidRDefault="00332742" w:rsidP="00332742">
      <w:pPr>
        <w:pStyle w:val="ListParagraph"/>
        <w:numPr>
          <w:ilvl w:val="0"/>
          <w:numId w:val="3"/>
        </w:numPr>
        <w:autoSpaceDE w:val="0"/>
        <w:autoSpaceDN w:val="0"/>
        <w:adjustRightInd w:val="0"/>
        <w:spacing w:after="120" w:line="240" w:lineRule="auto"/>
        <w:contextualSpacing w:val="0"/>
        <w:rPr>
          <w:rFonts w:cs="Arial"/>
          <w:vanish/>
          <w:color w:val="000000"/>
        </w:rPr>
      </w:pPr>
    </w:p>
    <w:p w:rsidR="00332742" w:rsidRPr="00A82BD4" w:rsidRDefault="00332742" w:rsidP="00332742">
      <w:pPr>
        <w:pStyle w:val="Default"/>
        <w:numPr>
          <w:ilvl w:val="1"/>
          <w:numId w:val="3"/>
        </w:numPr>
        <w:spacing w:after="120"/>
        <w:ind w:left="644"/>
        <w:rPr>
          <w:rFonts w:asciiTheme="minorHAnsi" w:hAnsiTheme="minorHAnsi"/>
          <w:sz w:val="22"/>
          <w:szCs w:val="22"/>
          <w:lang w:val="en-GB"/>
        </w:rPr>
      </w:pPr>
      <w:r w:rsidRPr="000C20EF">
        <w:rPr>
          <w:rFonts w:asciiTheme="minorHAnsi" w:hAnsiTheme="minorHAnsi"/>
          <w:sz w:val="22"/>
          <w:szCs w:val="22"/>
          <w:lang w:val="en-GB"/>
        </w:rPr>
        <w:t>Under step 8 of the Application of the SEA directive (Figure 1), in order to establish whether a plan requires an</w:t>
      </w:r>
      <w:r w:rsidRPr="004E72F7">
        <w:rPr>
          <w:rFonts w:asciiTheme="minorHAnsi" w:hAnsiTheme="minorHAnsi"/>
          <w:sz w:val="22"/>
          <w:szCs w:val="22"/>
          <w:lang w:val="en-GB"/>
        </w:rPr>
        <w:t xml:space="preserve"> SEA, it was necessary to conduct a thorough assessment of whether the plan was likely to have a significant effect on the environment.</w:t>
      </w:r>
    </w:p>
    <w:p w:rsidR="00332742" w:rsidRPr="00674EDC" w:rsidRDefault="00332742" w:rsidP="00332742">
      <w:pPr>
        <w:pStyle w:val="Default"/>
        <w:numPr>
          <w:ilvl w:val="1"/>
          <w:numId w:val="3"/>
        </w:numPr>
        <w:spacing w:after="120"/>
        <w:ind w:left="709" w:hanging="425"/>
        <w:rPr>
          <w:rFonts w:asciiTheme="minorHAnsi" w:hAnsiTheme="minorHAnsi"/>
          <w:sz w:val="22"/>
          <w:szCs w:val="22"/>
          <w:lang w:val="en-GB"/>
        </w:rPr>
      </w:pPr>
      <w:r w:rsidRPr="00674EDC">
        <w:rPr>
          <w:rFonts w:asciiTheme="minorHAnsi" w:hAnsiTheme="minorHAnsi" w:cs="Calibri"/>
          <w:sz w:val="22"/>
          <w:szCs w:val="22"/>
          <w:lang w:val="en-GB"/>
        </w:rPr>
        <w:t xml:space="preserve">The table below sets out the criteria by which the </w:t>
      </w:r>
      <w:r>
        <w:rPr>
          <w:rFonts w:asciiTheme="minorHAnsi" w:hAnsiTheme="minorHAnsi" w:cs="Calibri"/>
          <w:sz w:val="22"/>
          <w:szCs w:val="22"/>
          <w:lang w:val="en-GB"/>
        </w:rPr>
        <w:t>site allocation in</w:t>
      </w:r>
      <w:r w:rsidRPr="00674EDC">
        <w:rPr>
          <w:rFonts w:asciiTheme="minorHAnsi" w:hAnsiTheme="minorHAnsi" w:cs="Calibri"/>
          <w:sz w:val="22"/>
          <w:szCs w:val="22"/>
          <w:lang w:val="en-GB"/>
        </w:rPr>
        <w:t xml:space="preserve"> the plan should be judged, as outlined in Article 3.5 of the SEA Directive.</w:t>
      </w:r>
    </w:p>
    <w:p w:rsidR="00332742" w:rsidRDefault="00332742" w:rsidP="00332742">
      <w:pPr>
        <w:pStyle w:val="Default"/>
        <w:spacing w:after="120"/>
        <w:rPr>
          <w:rFonts w:asciiTheme="minorHAnsi" w:hAnsiTheme="minorHAnsi"/>
          <w:b/>
          <w:noProof/>
          <w:sz w:val="22"/>
          <w:szCs w:val="22"/>
        </w:rPr>
      </w:pPr>
    </w:p>
    <w:p w:rsidR="00332742" w:rsidRPr="00674EDC" w:rsidRDefault="00332742" w:rsidP="00332742">
      <w:pPr>
        <w:pStyle w:val="Default"/>
        <w:spacing w:after="120"/>
        <w:rPr>
          <w:rFonts w:asciiTheme="minorHAnsi" w:hAnsiTheme="minorHAnsi"/>
          <w:sz w:val="22"/>
          <w:szCs w:val="22"/>
          <w:lang w:val="en-GB"/>
        </w:rPr>
      </w:pPr>
      <w:r w:rsidRPr="00674EDC">
        <w:rPr>
          <w:rFonts w:asciiTheme="minorHAnsi" w:hAnsiTheme="minorHAnsi"/>
          <w:b/>
          <w:noProof/>
          <w:sz w:val="22"/>
          <w:szCs w:val="22"/>
        </w:rPr>
        <w:t xml:space="preserve">Figure </w:t>
      </w:r>
      <w:r>
        <w:rPr>
          <w:rFonts w:asciiTheme="minorHAnsi" w:hAnsiTheme="minorHAnsi"/>
          <w:b/>
          <w:noProof/>
          <w:sz w:val="22"/>
          <w:szCs w:val="22"/>
        </w:rPr>
        <w:t>3</w:t>
      </w:r>
      <w:r w:rsidRPr="00674EDC">
        <w:rPr>
          <w:rFonts w:asciiTheme="minorHAnsi" w:hAnsiTheme="minorHAnsi"/>
          <w:b/>
          <w:noProof/>
          <w:sz w:val="22"/>
          <w:szCs w:val="22"/>
        </w:rPr>
        <w:t>:</w:t>
      </w:r>
      <w:r w:rsidRPr="00674EDC">
        <w:rPr>
          <w:rFonts w:asciiTheme="minorHAnsi" w:hAnsiTheme="minorHAnsi"/>
          <w:noProof/>
          <w:sz w:val="22"/>
          <w:szCs w:val="22"/>
        </w:rPr>
        <w:t xml:space="preserve"> </w:t>
      </w:r>
      <w:r>
        <w:rPr>
          <w:rFonts w:asciiTheme="minorHAnsi" w:hAnsiTheme="minorHAnsi"/>
          <w:noProof/>
          <w:sz w:val="22"/>
          <w:szCs w:val="22"/>
        </w:rPr>
        <w:t>Environmental impact screening assesment</w:t>
      </w:r>
    </w:p>
    <w:tbl>
      <w:tblPr>
        <w:tblW w:w="0" w:type="auto"/>
        <w:tblLook w:val="04A0" w:firstRow="1" w:lastRow="0" w:firstColumn="1" w:lastColumn="0" w:noHBand="0" w:noVBand="1"/>
      </w:tblPr>
      <w:tblGrid>
        <w:gridCol w:w="2945"/>
        <w:gridCol w:w="2541"/>
        <w:gridCol w:w="3454"/>
      </w:tblGrid>
      <w:tr w:rsidR="00332742" w:rsidRPr="00797F90" w:rsidTr="00D3777A">
        <w:tc>
          <w:tcPr>
            <w:tcW w:w="3192" w:type="dxa"/>
          </w:tcPr>
          <w:p w:rsidR="00332742" w:rsidRPr="00797F90" w:rsidRDefault="00332742" w:rsidP="00D3777A">
            <w:pPr>
              <w:autoSpaceDE w:val="0"/>
              <w:autoSpaceDN w:val="0"/>
              <w:adjustRightInd w:val="0"/>
              <w:rPr>
                <w:b/>
              </w:rPr>
            </w:pPr>
            <w:r w:rsidRPr="00797F90">
              <w:rPr>
                <w:b/>
              </w:rPr>
              <w:t>Criteria for determining the likely significance of effects (Schedule 1 of SEA regulations)</w:t>
            </w:r>
          </w:p>
        </w:tc>
        <w:tc>
          <w:tcPr>
            <w:tcW w:w="2728" w:type="dxa"/>
          </w:tcPr>
          <w:p w:rsidR="00332742" w:rsidRPr="00797F90" w:rsidRDefault="00332742" w:rsidP="00D3777A">
            <w:pPr>
              <w:autoSpaceDE w:val="0"/>
              <w:autoSpaceDN w:val="0"/>
              <w:adjustRightInd w:val="0"/>
              <w:rPr>
                <w:rFonts w:cs="Calibri,Bold"/>
                <w:b/>
                <w:bCs/>
              </w:rPr>
            </w:pPr>
            <w:r w:rsidRPr="00797F90">
              <w:rPr>
                <w:rFonts w:cs="Calibri,Bold"/>
                <w:b/>
                <w:bCs/>
              </w:rPr>
              <w:t>Is the</w:t>
            </w:r>
            <w:r>
              <w:rPr>
                <w:rFonts w:cs="Calibri,Bold"/>
                <w:b/>
                <w:bCs/>
              </w:rPr>
              <w:t xml:space="preserve"> ANP </w:t>
            </w:r>
            <w:r w:rsidRPr="00797F90">
              <w:rPr>
                <w:rFonts w:cs="Calibri,Bold"/>
                <w:b/>
                <w:bCs/>
              </w:rPr>
              <w:t>likely to have a significant environmental effect?</w:t>
            </w:r>
          </w:p>
        </w:tc>
        <w:tc>
          <w:tcPr>
            <w:tcW w:w="3656" w:type="dxa"/>
          </w:tcPr>
          <w:p w:rsidR="00332742" w:rsidRPr="00797F90" w:rsidRDefault="00332742" w:rsidP="00D3777A">
            <w:pPr>
              <w:autoSpaceDE w:val="0"/>
              <w:autoSpaceDN w:val="0"/>
              <w:adjustRightInd w:val="0"/>
              <w:rPr>
                <w:b/>
              </w:rPr>
            </w:pPr>
            <w:r w:rsidRPr="00797F90">
              <w:rPr>
                <w:rFonts w:cs="Calibri,Bold"/>
                <w:b/>
                <w:bCs/>
              </w:rPr>
              <w:t>Justification for Screening Assessment</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degree to which the plan or programme sets a framework for projects and other activities, either with regard to the location, nature, size and operating conditions or by allocating resources.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9A23CB">
            <w:pPr>
              <w:autoSpaceDE w:val="0"/>
              <w:autoSpaceDN w:val="0"/>
              <w:adjustRightInd w:val="0"/>
            </w:pPr>
            <w:r w:rsidRPr="00797F90">
              <w:t>The</w:t>
            </w:r>
            <w:r>
              <w:t xml:space="preserve"> thrust of the FNP is to restrict any further development </w:t>
            </w:r>
            <w:r w:rsidR="00602610">
              <w:t xml:space="preserve">to a maximum twelve small-scale, individual </w:t>
            </w:r>
            <w:r w:rsidR="009A23CB">
              <w:t xml:space="preserve">self-build </w:t>
            </w:r>
            <w:r w:rsidR="00602610">
              <w:t>houses</w:t>
            </w:r>
            <w:r w:rsidR="009A23CB">
              <w:t xml:space="preserve"> in response to the findings of the recent housing needs assessment</w:t>
            </w:r>
            <w:r>
              <w:t xml:space="preserve">. In the Local Plan, Farringdon is generally not considered to be a suitable place for further open market housing development, due to a lack of services and facilities meaning residents </w:t>
            </w:r>
            <w:r w:rsidR="009A23CB">
              <w:t>generally</w:t>
            </w:r>
            <w:r>
              <w:t xml:space="preserve"> use the private motor vehicle to access facilities such as schools and shops</w:t>
            </w:r>
            <w:r w:rsidR="009A23CB">
              <w:t>. There is a significant employment site within the parish and the knock-on effect of providing older people’s housing is that family homes will be ‘freed up’ enabling employees to live close to their place of work</w:t>
            </w:r>
            <w:r>
              <w:t xml:space="preserve">. Farringdon is in close proximity to the new town of </w:t>
            </w:r>
            <w:proofErr w:type="spellStart"/>
            <w:r>
              <w:t>Cranbrok</w:t>
            </w:r>
            <w:proofErr w:type="spellEnd"/>
            <w:r>
              <w:t xml:space="preserve"> and it is possible that future, strategic development will fall within the Parish, however this is outside the scope of the neighbourhood plan.</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degree to which the plan or programme influences other plans and programmes including those in a hierarchy.</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9A23CB">
            <w:pPr>
              <w:autoSpaceDE w:val="0"/>
              <w:autoSpaceDN w:val="0"/>
              <w:adjustRightInd w:val="0"/>
            </w:pPr>
            <w:r w:rsidRPr="00797F90">
              <w:t>The</w:t>
            </w:r>
            <w:r>
              <w:t xml:space="preserve"> FNP </w:t>
            </w:r>
            <w:r w:rsidRPr="00797F90">
              <w:t>must be in general conformity with the adopted East Devon Local Plan and have regard to national policies. It must also be compatible with EU law and the ECHR obligations.</w:t>
            </w:r>
            <w:r>
              <w:t xml:space="preserve"> It is not considered to have a particular</w:t>
            </w:r>
            <w:r w:rsidRPr="00797F90">
              <w:t xml:space="preserve"> influence on </w:t>
            </w:r>
            <w:r>
              <w:t>any</w:t>
            </w:r>
            <w:r w:rsidRPr="00797F90">
              <w:t xml:space="preserve"> plans</w:t>
            </w:r>
            <w:r>
              <w:t xml:space="preserve"> other than the planning application</w:t>
            </w:r>
            <w:r w:rsidR="009A23CB">
              <w:t>s</w:t>
            </w:r>
            <w:r>
              <w:t xml:space="preserve"> that will dictate the </w:t>
            </w:r>
            <w:r w:rsidR="009A23CB">
              <w:t>implementation of FARR5.</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relevance of the plan or programme for the integration of environmental considerations in particular with a view to promoting sustainable development.</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9A23CB">
            <w:pPr>
              <w:autoSpaceDE w:val="0"/>
              <w:autoSpaceDN w:val="0"/>
              <w:adjustRightInd w:val="0"/>
            </w:pPr>
            <w:r w:rsidRPr="00797F90">
              <w:t xml:space="preserve">The </w:t>
            </w:r>
            <w:r>
              <w:t>neighbourhood</w:t>
            </w:r>
            <w:r w:rsidRPr="00797F90">
              <w:t xml:space="preserve"> plan will</w:t>
            </w:r>
            <w:r>
              <w:t xml:space="preserve"> need to</w:t>
            </w:r>
            <w:r w:rsidRPr="00797F90">
              <w:t xml:space="preserve"> contribute towards the achievement of sustainable development, as required by the “basic conditions” on which the plan will be judged by at examination.</w:t>
            </w:r>
            <w:r w:rsidR="009A23CB">
              <w:t xml:space="preserve"> New self-build housing will enable existing residents to downsize into accessible housing better suited for their needs, it will also release family housing onto the market. Whilst Farringdon lacks facilities, it does have a large amount of employment available and is close to bus stops and the wide range of facilities at </w:t>
            </w:r>
            <w:proofErr w:type="spellStart"/>
            <w:r w:rsidR="009A23CB">
              <w:t>Cranbrook</w:t>
            </w:r>
            <w:proofErr w:type="spellEnd"/>
            <w:r>
              <w:t>.</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Environmental problems relevant to the plan or programme.</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t>Farringdon does not have any significant environmental problems that the Neighbourhood Plan is likely to impact.</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relevance of the plan or programme for the implementation of Community legislation on the environment (e.g. plans and programmes</w:t>
            </w:r>
            <w:r>
              <w:rPr>
                <w:rFonts w:cs="Calibri"/>
              </w:rPr>
              <w:t xml:space="preserve"> </w:t>
            </w:r>
            <w:r w:rsidRPr="00797F90">
              <w:rPr>
                <w:rFonts w:cs="Calibri"/>
              </w:rPr>
              <w:t>linked to waste management or water protection).</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rsidRPr="00797F90">
              <w:t>These community legislation types are not relevant to the</w:t>
            </w:r>
            <w:r>
              <w:t xml:space="preserve"> FNP </w:t>
            </w:r>
            <w:r w:rsidRPr="00797F90">
              <w:t>and will not need to be considered.</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probability, duration, frequency and reversibility of the effects.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D636F7" w:rsidRDefault="00332742" w:rsidP="00D3777A">
            <w:pPr>
              <w:autoSpaceDE w:val="0"/>
              <w:autoSpaceDN w:val="0"/>
              <w:adjustRightInd w:val="0"/>
              <w:rPr>
                <w:rFonts w:ascii="Calibri" w:hAnsi="Calibri" w:cs="Calibri"/>
              </w:rPr>
            </w:pPr>
            <w:r>
              <w:rPr>
                <w:rFonts w:ascii="Calibri" w:hAnsi="Calibri" w:cs="Calibri"/>
              </w:rPr>
              <w:t>As the Neighbourhood Plan will not be allocating a site, this will not apply.</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cumulative nature of the effects.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9A23CB" w:rsidP="00D3777A">
            <w:pPr>
              <w:autoSpaceDE w:val="0"/>
              <w:autoSpaceDN w:val="0"/>
              <w:adjustRightInd w:val="0"/>
            </w:pPr>
            <w:r>
              <w:t>By limiting the new housing to 12 (one per year) t</w:t>
            </w:r>
            <w:r w:rsidR="00332742" w:rsidRPr="00797F90">
              <w:t xml:space="preserve">he </w:t>
            </w:r>
            <w:r w:rsidR="00332742">
              <w:t xml:space="preserve">cumulative effects </w:t>
            </w:r>
            <w:r w:rsidR="00332742" w:rsidRPr="00797F90">
              <w:t>of the</w:t>
            </w:r>
            <w:r w:rsidR="00332742">
              <w:t xml:space="preserve"> FNP </w:t>
            </w:r>
            <w:r w:rsidR="00332742" w:rsidRPr="00797F90">
              <w:t>are not considered to have a significant effect on the environment.</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trans-boundary nature of the effects.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rsidRPr="00797F90">
              <w:t>The</w:t>
            </w:r>
            <w:r>
              <w:t xml:space="preserve"> FNP </w:t>
            </w:r>
            <w:r w:rsidRPr="00797F90">
              <w:t>only set</w:t>
            </w:r>
            <w:r>
              <w:t>s</w:t>
            </w:r>
            <w:r w:rsidRPr="00797F90">
              <w:t xml:space="preserve"> a framework </w:t>
            </w:r>
            <w:r>
              <w:t xml:space="preserve">for development within the </w:t>
            </w:r>
            <w:r w:rsidRPr="00797F90">
              <w:t>Neighbourhood Area</w:t>
            </w:r>
            <w:r>
              <w:t xml:space="preserve"> which corresponds to the existing parish boundary</w:t>
            </w:r>
            <w:r w:rsidRPr="00797F90">
              <w:t>. The scale of development it will im</w:t>
            </w:r>
            <w:r>
              <w:t>pact upon is unlikely to have a significant</w:t>
            </w:r>
            <w:r w:rsidRPr="00797F90">
              <w:t xml:space="preserve"> effect on neighbouring areas.</w:t>
            </w:r>
            <w:r>
              <w:t xml:space="preserve"> Future strategic development/expansion of </w:t>
            </w:r>
            <w:proofErr w:type="spellStart"/>
            <w:r>
              <w:t>Cranbrook</w:t>
            </w:r>
            <w:proofErr w:type="spellEnd"/>
            <w:r>
              <w:t xml:space="preserve"> may impact upon the Neighbourhood Area but this is beyond the scope of the Plan.</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risks to human health</w:t>
            </w:r>
            <w:r>
              <w:rPr>
                <w:rFonts w:cs="Calibri"/>
              </w:rPr>
              <w:t xml:space="preserve"> </w:t>
            </w:r>
            <w:r w:rsidRPr="00797F90">
              <w:rPr>
                <w:rFonts w:cs="Calibri"/>
              </w:rPr>
              <w:t>or the environment (e.g. due to accidents).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rsidRPr="00797F90">
              <w:t>There are no</w:t>
            </w:r>
            <w:r>
              <w:t xml:space="preserve"> </w:t>
            </w:r>
            <w:r w:rsidRPr="00797F90">
              <w:t>risks to human health identified</w:t>
            </w:r>
            <w:r>
              <w:t>, other than the usual risks associated with the construction of dwellings and a small increase in traffic running along narrow, country lanes.</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magnitude and spatial extent of the effects (geographical area and size of the population likely to be affected).</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rsidRPr="00797F90">
              <w:t>The</w:t>
            </w:r>
            <w:r>
              <w:t xml:space="preserve"> FNP </w:t>
            </w:r>
            <w:r w:rsidRPr="00797F90">
              <w:t xml:space="preserve">is concerned only with development within the Parish of </w:t>
            </w:r>
            <w:r>
              <w:t>Farringdon.</w:t>
            </w:r>
            <w:r w:rsidRPr="00797F90">
              <w:t xml:space="preserve"> </w:t>
            </w:r>
            <w:r>
              <w:t>If there are any effects they are</w:t>
            </w:r>
            <w:r w:rsidRPr="00797F90">
              <w:t xml:space="preserve"> not considered to be wide ranging</w:t>
            </w:r>
            <w:r>
              <w:t>.</w:t>
            </w:r>
          </w:p>
        </w:tc>
      </w:tr>
      <w:tr w:rsidR="00332742" w:rsidRPr="00797F90" w:rsidTr="00D3777A">
        <w:tc>
          <w:tcPr>
            <w:tcW w:w="3192" w:type="dxa"/>
          </w:tcPr>
          <w:p w:rsidR="00332742" w:rsidRPr="00797F90" w:rsidRDefault="00332742" w:rsidP="00D3777A">
            <w:pPr>
              <w:autoSpaceDE w:val="0"/>
              <w:autoSpaceDN w:val="0"/>
              <w:adjustRightInd w:val="0"/>
              <w:rPr>
                <w:rFonts w:cs="Calibri"/>
              </w:rPr>
            </w:pPr>
            <w:r w:rsidRPr="00797F90">
              <w:rPr>
                <w:rFonts w:cs="Calibri"/>
              </w:rPr>
              <w:t>The value and vulnerability of the area likely to be affected due to: special natural characteristics or cultural heritage; exceeded environmental quality standards or lim</w:t>
            </w:r>
            <w:r>
              <w:rPr>
                <w:rFonts w:cs="Calibri"/>
              </w:rPr>
              <w:t>it values; intensive land-use. T</w:t>
            </w:r>
            <w:r w:rsidRPr="00797F90">
              <w:rPr>
                <w:rFonts w:cs="Calibri"/>
              </w:rPr>
              <w:t>he effects on areas or</w:t>
            </w:r>
            <w:r>
              <w:rPr>
                <w:rFonts w:cs="Calibri"/>
              </w:rPr>
              <w:t xml:space="preserve"> </w:t>
            </w:r>
            <w:r w:rsidRPr="00797F90">
              <w:rPr>
                <w:rFonts w:cs="Calibri"/>
              </w:rPr>
              <w:t>landscapes which have a recognised national, Community or international protection status.</w:t>
            </w:r>
          </w:p>
        </w:tc>
        <w:tc>
          <w:tcPr>
            <w:tcW w:w="2728" w:type="dxa"/>
          </w:tcPr>
          <w:p w:rsidR="00332742" w:rsidRPr="00797F90" w:rsidRDefault="00332742" w:rsidP="00D3777A">
            <w:pPr>
              <w:autoSpaceDE w:val="0"/>
              <w:autoSpaceDN w:val="0"/>
              <w:adjustRightInd w:val="0"/>
              <w:rPr>
                <w:b/>
              </w:rPr>
            </w:pPr>
            <w:r w:rsidRPr="00797F90">
              <w:rPr>
                <w:b/>
              </w:rPr>
              <w:t>N</w:t>
            </w:r>
          </w:p>
        </w:tc>
        <w:tc>
          <w:tcPr>
            <w:tcW w:w="3656" w:type="dxa"/>
          </w:tcPr>
          <w:p w:rsidR="00332742" w:rsidRPr="00797F90" w:rsidRDefault="00332742" w:rsidP="00D3777A">
            <w:pPr>
              <w:autoSpaceDE w:val="0"/>
              <w:autoSpaceDN w:val="0"/>
              <w:adjustRightInd w:val="0"/>
            </w:pPr>
            <w:r>
              <w:t xml:space="preserve">No sites are proposed for allocation and the thrust of the Plan is protective in nature. </w:t>
            </w:r>
          </w:p>
        </w:tc>
      </w:tr>
    </w:tbl>
    <w:p w:rsidR="00332742" w:rsidRPr="00E229D9" w:rsidRDefault="00332742" w:rsidP="00332742">
      <w:pPr>
        <w:pStyle w:val="ListParagraph"/>
        <w:numPr>
          <w:ilvl w:val="1"/>
          <w:numId w:val="3"/>
        </w:numPr>
        <w:autoSpaceDE w:val="0"/>
        <w:autoSpaceDN w:val="0"/>
        <w:adjustRightInd w:val="0"/>
        <w:spacing w:after="0" w:line="240" w:lineRule="auto"/>
        <w:ind w:left="426" w:hanging="426"/>
        <w:rPr>
          <w:b/>
        </w:rPr>
      </w:pPr>
      <w:r>
        <w:rPr>
          <w:b/>
        </w:rPr>
        <w:t>Conclusion</w:t>
      </w:r>
    </w:p>
    <w:p w:rsidR="00332742" w:rsidRPr="00A82BD4" w:rsidRDefault="00332742" w:rsidP="00332742">
      <w:pPr>
        <w:autoSpaceDE w:val="0"/>
        <w:autoSpaceDN w:val="0"/>
        <w:adjustRightInd w:val="0"/>
        <w:spacing w:after="0" w:line="240" w:lineRule="auto"/>
        <w:rPr>
          <w:b/>
        </w:rPr>
      </w:pPr>
    </w:p>
    <w:p w:rsidR="00332742" w:rsidRPr="00B94D47" w:rsidRDefault="00332742" w:rsidP="00B94D47">
      <w:pPr>
        <w:pStyle w:val="Default"/>
        <w:numPr>
          <w:ilvl w:val="1"/>
          <w:numId w:val="3"/>
        </w:numPr>
        <w:spacing w:after="120"/>
        <w:rPr>
          <w:rFonts w:asciiTheme="minorHAnsi" w:hAnsiTheme="minorHAnsi"/>
          <w:sz w:val="22"/>
          <w:szCs w:val="22"/>
          <w:lang w:val="en-GB"/>
        </w:rPr>
      </w:pPr>
      <w:r w:rsidRPr="00B94D47">
        <w:rPr>
          <w:rFonts w:asciiTheme="minorHAnsi" w:hAnsiTheme="minorHAnsi"/>
          <w:sz w:val="22"/>
          <w:szCs w:val="22"/>
          <w:lang w:val="en-GB"/>
        </w:rPr>
        <w:t xml:space="preserve">The </w:t>
      </w:r>
      <w:r w:rsidRPr="00B94D47">
        <w:rPr>
          <w:rFonts w:asciiTheme="minorHAnsi" w:hAnsiTheme="minorHAnsi"/>
          <w:sz w:val="22"/>
          <w:szCs w:val="22"/>
        </w:rPr>
        <w:t>Farringdon Neighbourhood Plan does not require a Strategic Environmental Assessment</w:t>
      </w:r>
      <w:r w:rsidR="00B94D47">
        <w:rPr>
          <w:rFonts w:asciiTheme="minorHAnsi" w:hAnsiTheme="minorHAnsi"/>
          <w:sz w:val="22"/>
          <w:szCs w:val="22"/>
        </w:rPr>
        <w:t xml:space="preserve">. </w:t>
      </w:r>
      <w:r w:rsidR="00B94D47" w:rsidRPr="00B94D47">
        <w:rPr>
          <w:rFonts w:asciiTheme="minorHAnsi" w:hAnsiTheme="minorHAnsi"/>
          <w:sz w:val="22"/>
          <w:szCs w:val="22"/>
        </w:rPr>
        <w:t xml:space="preserve">The Neighbourhood Plan will provide for a very small level of development over and above the provision in the Local Plan (around </w:t>
      </w:r>
      <w:r w:rsidR="00B94D47">
        <w:rPr>
          <w:rFonts w:asciiTheme="minorHAnsi" w:hAnsiTheme="minorHAnsi"/>
          <w:sz w:val="22"/>
          <w:szCs w:val="22"/>
        </w:rPr>
        <w:t>12 individual</w:t>
      </w:r>
      <w:r w:rsidR="00B94D47" w:rsidRPr="00B94D47">
        <w:rPr>
          <w:rFonts w:asciiTheme="minorHAnsi" w:hAnsiTheme="minorHAnsi"/>
          <w:sz w:val="22"/>
          <w:szCs w:val="22"/>
        </w:rPr>
        <w:t xml:space="preserve"> houses over 1</w:t>
      </w:r>
      <w:r w:rsidR="00B94D47">
        <w:rPr>
          <w:rFonts w:asciiTheme="minorHAnsi" w:hAnsiTheme="minorHAnsi"/>
          <w:sz w:val="22"/>
          <w:szCs w:val="22"/>
        </w:rPr>
        <w:t>2</w:t>
      </w:r>
      <w:r w:rsidR="00B94D47" w:rsidRPr="00B94D47">
        <w:rPr>
          <w:rFonts w:asciiTheme="minorHAnsi" w:hAnsiTheme="minorHAnsi"/>
          <w:sz w:val="22"/>
          <w:szCs w:val="22"/>
        </w:rPr>
        <w:t xml:space="preserve"> years), and will not otherwise impact upon internationally or nationally important features which would be deemed to have a significant environmental effect.  </w:t>
      </w:r>
      <w:r w:rsidR="00B94D47" w:rsidRPr="00B94D47">
        <w:rPr>
          <w:rFonts w:asciiTheme="minorHAnsi" w:hAnsiTheme="minorHAnsi"/>
          <w:sz w:val="22"/>
          <w:szCs w:val="22"/>
        </w:rPr>
        <w:tab/>
      </w:r>
    </w:p>
    <w:p w:rsidR="00332742" w:rsidRDefault="00332742" w:rsidP="00B94D47">
      <w:pPr>
        <w:pStyle w:val="Default"/>
        <w:numPr>
          <w:ilvl w:val="1"/>
          <w:numId w:val="3"/>
        </w:numPr>
        <w:tabs>
          <w:tab w:val="left" w:pos="709"/>
        </w:tabs>
        <w:spacing w:after="120"/>
        <w:rPr>
          <w:rFonts w:asciiTheme="minorHAnsi" w:hAnsiTheme="minorHAnsi"/>
          <w:sz w:val="22"/>
          <w:szCs w:val="22"/>
        </w:rPr>
      </w:pPr>
      <w:r w:rsidRPr="00B94D47">
        <w:rPr>
          <w:rFonts w:asciiTheme="minorHAnsi" w:hAnsiTheme="minorHAnsi"/>
          <w:sz w:val="22"/>
          <w:szCs w:val="22"/>
        </w:rPr>
        <w:t xml:space="preserve">The </w:t>
      </w:r>
      <w:r w:rsidR="009A23CB" w:rsidRPr="00B94D47">
        <w:rPr>
          <w:rFonts w:asciiTheme="minorHAnsi" w:hAnsiTheme="minorHAnsi"/>
          <w:sz w:val="22"/>
          <w:szCs w:val="22"/>
        </w:rPr>
        <w:t xml:space="preserve">Local Plan considered that exceptions sites of around 15 houses would be acceptable in rural parishes and the </w:t>
      </w:r>
      <w:r w:rsidRPr="00B94D47">
        <w:rPr>
          <w:rFonts w:asciiTheme="minorHAnsi" w:hAnsiTheme="minorHAnsi"/>
          <w:sz w:val="22"/>
          <w:szCs w:val="22"/>
        </w:rPr>
        <w:t>Neighbourhood Plan does not promote development over and above</w:t>
      </w:r>
      <w:r w:rsidR="009A23CB" w:rsidRPr="00B94D47">
        <w:rPr>
          <w:rFonts w:asciiTheme="minorHAnsi" w:hAnsiTheme="minorHAnsi"/>
          <w:sz w:val="22"/>
          <w:szCs w:val="22"/>
        </w:rPr>
        <w:t xml:space="preserve"> this level.</w:t>
      </w:r>
      <w:r w:rsidR="00B94D47">
        <w:rPr>
          <w:rFonts w:asciiTheme="minorHAnsi" w:hAnsiTheme="minorHAnsi"/>
          <w:sz w:val="22"/>
          <w:szCs w:val="22"/>
        </w:rPr>
        <w:t xml:space="preserve"> The housing proposed under FARR5 is not affordable ‘exceptions’ housing, however it does meet a specific identified local need.</w:t>
      </w:r>
      <w:r w:rsidR="009A23CB" w:rsidRPr="00B94D47">
        <w:rPr>
          <w:rFonts w:asciiTheme="minorHAnsi" w:hAnsiTheme="minorHAnsi"/>
          <w:sz w:val="22"/>
          <w:szCs w:val="22"/>
        </w:rPr>
        <w:t xml:space="preserve"> The impact of individual dwellings within curtilages will be assessed through the planning application process and those applications which would result in a specific harm </w:t>
      </w:r>
      <w:proofErr w:type="spellStart"/>
      <w:r w:rsidR="009A23CB" w:rsidRPr="00B94D47">
        <w:rPr>
          <w:rFonts w:asciiTheme="minorHAnsi" w:hAnsiTheme="minorHAnsi"/>
          <w:sz w:val="22"/>
          <w:szCs w:val="22"/>
        </w:rPr>
        <w:t>eg</w:t>
      </w:r>
      <w:proofErr w:type="spellEnd"/>
      <w:r w:rsidR="009A23CB" w:rsidRPr="00B94D47">
        <w:rPr>
          <w:rFonts w:asciiTheme="minorHAnsi" w:hAnsiTheme="minorHAnsi"/>
          <w:sz w:val="22"/>
          <w:szCs w:val="22"/>
        </w:rPr>
        <w:t xml:space="preserve"> to a listed building, will not be permitted</w:t>
      </w:r>
      <w:r w:rsidR="00B94D47">
        <w:rPr>
          <w:rFonts w:asciiTheme="minorHAnsi" w:hAnsiTheme="minorHAnsi"/>
          <w:sz w:val="22"/>
          <w:szCs w:val="22"/>
        </w:rPr>
        <w:t>.</w:t>
      </w:r>
    </w:p>
    <w:p w:rsidR="00B94D47" w:rsidRDefault="00B94D47" w:rsidP="00B94D47">
      <w:pPr>
        <w:pStyle w:val="Default"/>
        <w:tabs>
          <w:tab w:val="left" w:pos="709"/>
        </w:tabs>
        <w:spacing w:after="120"/>
        <w:ind w:left="720"/>
        <w:rPr>
          <w:rFonts w:asciiTheme="minorHAnsi" w:hAnsiTheme="minorHAnsi"/>
          <w:sz w:val="22"/>
          <w:szCs w:val="22"/>
        </w:rPr>
      </w:pPr>
    </w:p>
    <w:p w:rsidR="00B94D47" w:rsidRPr="007A7084" w:rsidRDefault="00B94D47" w:rsidP="00B94D47">
      <w:pPr>
        <w:pStyle w:val="Default"/>
        <w:tabs>
          <w:tab w:val="left" w:pos="709"/>
        </w:tabs>
        <w:spacing w:after="120"/>
        <w:ind w:left="720"/>
        <w:rPr>
          <w:b/>
        </w:rPr>
      </w:pPr>
    </w:p>
    <w:p w:rsidR="00332742" w:rsidRPr="005574F4" w:rsidRDefault="005574F4" w:rsidP="005574F4">
      <w:pPr>
        <w:rPr>
          <w:b/>
        </w:rPr>
      </w:pPr>
      <w:r>
        <w:rPr>
          <w:b/>
        </w:rPr>
        <w:t>5.0</w:t>
      </w:r>
      <w:r w:rsidR="00332742" w:rsidRPr="005574F4">
        <w:rPr>
          <w:b/>
        </w:rPr>
        <w:t xml:space="preserve"> Habitat Regulations Screening Assessment</w:t>
      </w:r>
    </w:p>
    <w:p w:rsidR="00332742" w:rsidRPr="00E229D9" w:rsidRDefault="00332742" w:rsidP="00332742">
      <w:pPr>
        <w:pStyle w:val="ListParagraph"/>
        <w:ind w:left="360"/>
        <w:rPr>
          <w:b/>
        </w:rPr>
      </w:pPr>
    </w:p>
    <w:p w:rsidR="00332742" w:rsidRPr="00C15D24" w:rsidRDefault="00332742" w:rsidP="00332742">
      <w:pPr>
        <w:pStyle w:val="ListParagraph"/>
        <w:numPr>
          <w:ilvl w:val="0"/>
          <w:numId w:val="4"/>
        </w:numPr>
        <w:autoSpaceDE w:val="0"/>
        <w:autoSpaceDN w:val="0"/>
        <w:adjustRightInd w:val="0"/>
        <w:spacing w:after="120" w:line="240" w:lineRule="auto"/>
        <w:contextualSpacing w:val="0"/>
        <w:rPr>
          <w:rFonts w:cs="Arial"/>
          <w:vanish/>
          <w:color w:val="000000"/>
        </w:rPr>
      </w:pPr>
    </w:p>
    <w:p w:rsidR="00332742" w:rsidRPr="00C15D24" w:rsidRDefault="00332742" w:rsidP="00332742">
      <w:pPr>
        <w:pStyle w:val="ListParagraph"/>
        <w:numPr>
          <w:ilvl w:val="0"/>
          <w:numId w:val="4"/>
        </w:numPr>
        <w:autoSpaceDE w:val="0"/>
        <w:autoSpaceDN w:val="0"/>
        <w:adjustRightInd w:val="0"/>
        <w:spacing w:after="120" w:line="240" w:lineRule="auto"/>
        <w:contextualSpacing w:val="0"/>
        <w:rPr>
          <w:rFonts w:cs="Arial"/>
          <w:vanish/>
          <w:color w:val="000000"/>
        </w:rPr>
      </w:pPr>
    </w:p>
    <w:p w:rsidR="00332742" w:rsidRPr="00C15D24" w:rsidRDefault="00332742" w:rsidP="00332742">
      <w:pPr>
        <w:pStyle w:val="ListParagraph"/>
        <w:numPr>
          <w:ilvl w:val="0"/>
          <w:numId w:val="4"/>
        </w:numPr>
        <w:autoSpaceDE w:val="0"/>
        <w:autoSpaceDN w:val="0"/>
        <w:adjustRightInd w:val="0"/>
        <w:spacing w:after="120" w:line="240" w:lineRule="auto"/>
        <w:contextualSpacing w:val="0"/>
        <w:rPr>
          <w:rFonts w:cs="Arial"/>
          <w:vanish/>
          <w:color w:val="000000"/>
        </w:rPr>
      </w:pPr>
    </w:p>
    <w:p w:rsidR="00332742" w:rsidRPr="00C15D24" w:rsidRDefault="00332742" w:rsidP="00332742">
      <w:pPr>
        <w:pStyle w:val="ListParagraph"/>
        <w:numPr>
          <w:ilvl w:val="0"/>
          <w:numId w:val="4"/>
        </w:numPr>
        <w:autoSpaceDE w:val="0"/>
        <w:autoSpaceDN w:val="0"/>
        <w:adjustRightInd w:val="0"/>
        <w:spacing w:after="120" w:line="240" w:lineRule="auto"/>
        <w:contextualSpacing w:val="0"/>
        <w:rPr>
          <w:rFonts w:cs="Arial"/>
          <w:vanish/>
          <w:color w:val="000000"/>
        </w:rPr>
      </w:pPr>
    </w:p>
    <w:p w:rsidR="00332742" w:rsidRPr="00C03CA0" w:rsidRDefault="00332742" w:rsidP="005574F4">
      <w:pPr>
        <w:pStyle w:val="Default"/>
        <w:numPr>
          <w:ilvl w:val="1"/>
          <w:numId w:val="4"/>
        </w:numPr>
        <w:spacing w:after="120"/>
        <w:rPr>
          <w:rFonts w:asciiTheme="minorHAnsi" w:hAnsiTheme="minorHAnsi"/>
          <w:b/>
          <w:sz w:val="22"/>
          <w:szCs w:val="22"/>
        </w:rPr>
      </w:pPr>
      <w:r w:rsidRPr="00AC4DE4">
        <w:rPr>
          <w:rFonts w:asciiTheme="minorHAnsi" w:hAnsiTheme="minorHAnsi"/>
          <w:sz w:val="22"/>
          <w:szCs w:val="22"/>
          <w:lang w:val="en-GB"/>
        </w:rPr>
        <w:t>T</w:t>
      </w:r>
      <w:r w:rsidRPr="00C03CA0">
        <w:rPr>
          <w:rFonts w:asciiTheme="minorHAnsi" w:hAnsiTheme="minorHAnsi"/>
          <w:sz w:val="22"/>
          <w:szCs w:val="22"/>
          <w:lang w:val="en-GB"/>
        </w:rPr>
        <w:t xml:space="preserve">he </w:t>
      </w:r>
      <w:r>
        <w:rPr>
          <w:rFonts w:asciiTheme="minorHAnsi" w:hAnsiTheme="minorHAnsi"/>
          <w:sz w:val="22"/>
          <w:szCs w:val="22"/>
          <w:lang w:val="en-GB"/>
        </w:rPr>
        <w:t xml:space="preserve">draft policies of the plan </w:t>
      </w:r>
      <w:r w:rsidR="00B94D47">
        <w:rPr>
          <w:rFonts w:asciiTheme="minorHAnsi" w:hAnsiTheme="minorHAnsi"/>
          <w:sz w:val="22"/>
          <w:szCs w:val="22"/>
          <w:lang w:val="en-GB"/>
        </w:rPr>
        <w:t>(attached)</w:t>
      </w:r>
      <w:r w:rsidRPr="00C03CA0">
        <w:rPr>
          <w:rFonts w:asciiTheme="minorHAnsi" w:hAnsiTheme="minorHAnsi"/>
          <w:sz w:val="22"/>
          <w:szCs w:val="22"/>
          <w:lang w:val="en-GB"/>
        </w:rPr>
        <w:t xml:space="preserve"> have been</w:t>
      </w:r>
      <w:r>
        <w:rPr>
          <w:rFonts w:asciiTheme="minorHAnsi" w:hAnsiTheme="minorHAnsi"/>
          <w:sz w:val="22"/>
          <w:szCs w:val="22"/>
          <w:lang w:val="en-GB"/>
        </w:rPr>
        <w:t xml:space="preserve"> used to undertake this initial </w:t>
      </w:r>
      <w:r w:rsidRPr="00C03CA0">
        <w:rPr>
          <w:rFonts w:asciiTheme="minorHAnsi" w:hAnsiTheme="minorHAnsi"/>
          <w:sz w:val="22"/>
          <w:szCs w:val="22"/>
          <w:lang w:val="en-GB"/>
        </w:rPr>
        <w:t xml:space="preserve">screening assessment. As the conclusion is that a full Habitat regulations </w:t>
      </w:r>
      <w:r>
        <w:rPr>
          <w:rFonts w:asciiTheme="minorHAnsi" w:hAnsiTheme="minorHAnsi"/>
          <w:sz w:val="22"/>
          <w:szCs w:val="22"/>
          <w:lang w:val="en-GB"/>
        </w:rPr>
        <w:t>s</w:t>
      </w:r>
      <w:r w:rsidRPr="00C03CA0">
        <w:rPr>
          <w:rFonts w:asciiTheme="minorHAnsi" w:hAnsiTheme="minorHAnsi"/>
          <w:sz w:val="22"/>
          <w:szCs w:val="22"/>
          <w:lang w:val="en-GB"/>
        </w:rPr>
        <w:t xml:space="preserve">creening is not required, any variations or additions to the aims and objectives will be subject to a further screening. </w:t>
      </w:r>
      <w:r w:rsidRPr="00C03CA0">
        <w:rPr>
          <w:rFonts w:asciiTheme="minorHAnsi" w:hAnsiTheme="minorHAnsi" w:cs="Calibri"/>
          <w:sz w:val="22"/>
          <w:szCs w:val="22"/>
          <w:lang w:val="en-GB"/>
        </w:rPr>
        <w:t xml:space="preserve">A draft screening report was produced as part of the production of the emerging Local Plan and has been taken into account in undertaking this screening </w:t>
      </w:r>
      <w:r w:rsidRPr="00C03CA0">
        <w:rPr>
          <w:rFonts w:asciiTheme="minorHAnsi" w:hAnsiTheme="minorHAnsi"/>
          <w:sz w:val="22"/>
          <w:szCs w:val="22"/>
          <w:lang w:val="en-GB"/>
        </w:rPr>
        <w:t xml:space="preserve">assessment. </w:t>
      </w:r>
    </w:p>
    <w:p w:rsidR="00332742" w:rsidRDefault="00332742" w:rsidP="005574F4">
      <w:pPr>
        <w:pStyle w:val="ListParagraph"/>
        <w:numPr>
          <w:ilvl w:val="1"/>
          <w:numId w:val="4"/>
        </w:numPr>
        <w:ind w:left="709" w:hanging="425"/>
        <w:rPr>
          <w:rFonts w:cs="Arial"/>
        </w:rPr>
      </w:pPr>
      <w:r w:rsidRPr="00A82BD4">
        <w:rPr>
          <w:rFonts w:cs="Arial"/>
        </w:rPr>
        <w:t>The Conservation (Natural Habitats &amp;c.) Regulations 1994 (The Habitats Regulations) transpose the requirements of the European Habitats Directive 92/43/EEC into UK law.  The Habitats Directive and Regulations afford protection to plants, animals and habitats that are rare and vulnerable in a European context.</w:t>
      </w:r>
    </w:p>
    <w:p w:rsidR="00332742" w:rsidRPr="00A82BD4" w:rsidRDefault="00332742" w:rsidP="00332742">
      <w:pPr>
        <w:pStyle w:val="ListParagraph"/>
        <w:ind w:left="709"/>
        <w:rPr>
          <w:rFonts w:cs="Arial"/>
        </w:rPr>
      </w:pPr>
    </w:p>
    <w:p w:rsidR="00332742" w:rsidRPr="00A82BD4" w:rsidRDefault="00332742" w:rsidP="005574F4">
      <w:pPr>
        <w:pStyle w:val="ListParagraph"/>
        <w:numPr>
          <w:ilvl w:val="1"/>
          <w:numId w:val="4"/>
        </w:numPr>
        <w:ind w:left="709" w:hanging="425"/>
        <w:rPr>
          <w:rFonts w:cs="Arial"/>
        </w:rPr>
      </w:pPr>
      <w:r w:rsidRPr="00A82BD4">
        <w:rPr>
          <w:rFonts w:cs="Arial"/>
        </w:rPr>
        <w:t>Habitats Regulations Assessment (HRA) is a systematic process through which the performance of a plan or project can be assessed for its likely impact on the integrity of a European Site.  European Sites, also referred to as Natura 2000 sites, consist of Special Protection Areas (SPA), Special Areas of Conservation (SAC);Potential Special Protection Areas and candidate Special Areas of Conservation (</w:t>
      </w:r>
      <w:proofErr w:type="spellStart"/>
      <w:r w:rsidRPr="00A82BD4">
        <w:rPr>
          <w:rFonts w:cs="Arial"/>
        </w:rPr>
        <w:t>pSPA</w:t>
      </w:r>
      <w:proofErr w:type="spellEnd"/>
      <w:r w:rsidRPr="00A82BD4">
        <w:rPr>
          <w:rFonts w:cs="Arial"/>
        </w:rPr>
        <w:t xml:space="preserve"> and </w:t>
      </w:r>
      <w:proofErr w:type="spellStart"/>
      <w:r w:rsidRPr="00A82BD4">
        <w:rPr>
          <w:rFonts w:cs="Arial"/>
        </w:rPr>
        <w:t>cSAC</w:t>
      </w:r>
      <w:proofErr w:type="spellEnd"/>
      <w:r w:rsidRPr="00A82BD4">
        <w:rPr>
          <w:rFonts w:cs="Arial"/>
        </w:rPr>
        <w:t xml:space="preserve">); and listed or proposed </w:t>
      </w:r>
      <w:proofErr w:type="spellStart"/>
      <w:r w:rsidRPr="00A82BD4">
        <w:rPr>
          <w:rFonts w:cs="Arial"/>
        </w:rPr>
        <w:t>Ramsar</w:t>
      </w:r>
      <w:proofErr w:type="spellEnd"/>
      <w:r w:rsidRPr="00A82BD4">
        <w:rPr>
          <w:rFonts w:cs="Arial"/>
        </w:rPr>
        <w:t xml:space="preserve"> sites.</w:t>
      </w:r>
    </w:p>
    <w:p w:rsidR="00332742" w:rsidRDefault="00332742" w:rsidP="00332742">
      <w:pPr>
        <w:pStyle w:val="ListParagraph"/>
        <w:ind w:left="709"/>
        <w:rPr>
          <w:rFonts w:cs="Arial"/>
          <w:bCs/>
        </w:rPr>
      </w:pPr>
    </w:p>
    <w:p w:rsidR="00332742" w:rsidRPr="00C15D24" w:rsidRDefault="00332742" w:rsidP="005574F4">
      <w:pPr>
        <w:pStyle w:val="ListParagraph"/>
        <w:numPr>
          <w:ilvl w:val="1"/>
          <w:numId w:val="4"/>
        </w:numPr>
        <w:ind w:left="709" w:hanging="425"/>
        <w:rPr>
          <w:rFonts w:cs="Arial"/>
          <w:bCs/>
        </w:rPr>
      </w:pPr>
      <w:r w:rsidRPr="00C15D24">
        <w:rPr>
          <w:rFonts w:cs="Arial"/>
          <w:bCs/>
        </w:rPr>
        <w:t>Article 6(3) of the Habitats Directive states:</w:t>
      </w:r>
    </w:p>
    <w:p w:rsidR="00332742" w:rsidRPr="00C03CA0" w:rsidRDefault="00332742" w:rsidP="00332742">
      <w:pPr>
        <w:ind w:left="709"/>
        <w:rPr>
          <w:rFonts w:cs="Arial"/>
          <w:iCs/>
        </w:rPr>
      </w:pPr>
      <w:r w:rsidRPr="00C03CA0">
        <w:rPr>
          <w:rFonts w:cs="Arial"/>
          <w:iCs/>
        </w:rPr>
        <w:t xml:space="preserve">‘Any plan or </w:t>
      </w:r>
      <w:r w:rsidRPr="00C03CA0">
        <w:rPr>
          <w:rFonts w:cs="Arial"/>
        </w:rPr>
        <w:t>project</w:t>
      </w:r>
      <w:r w:rsidRPr="00C03CA0">
        <w:rPr>
          <w:rFonts w:cs="Arial"/>
          <w:iCs/>
        </w:rPr>
        <w:t xml:space="preserve"> not directly connected with or necessary to the management of the site but likely to have a significant effect thereon, either individually or in combination with other plans and projects, shall be subject to appropriate assessment of its implications for the site in view of the site’s conservation objectives’.</w:t>
      </w:r>
    </w:p>
    <w:p w:rsidR="00332742" w:rsidRDefault="00332742" w:rsidP="005574F4">
      <w:pPr>
        <w:pStyle w:val="ListParagraph"/>
        <w:numPr>
          <w:ilvl w:val="1"/>
          <w:numId w:val="4"/>
        </w:numPr>
        <w:autoSpaceDE w:val="0"/>
        <w:autoSpaceDN w:val="0"/>
        <w:adjustRightInd w:val="0"/>
        <w:spacing w:after="0" w:line="240" w:lineRule="auto"/>
        <w:ind w:left="709" w:hanging="425"/>
        <w:rPr>
          <w:rFonts w:cs="Arial"/>
        </w:rPr>
      </w:pPr>
      <w:r w:rsidRPr="00C15D24">
        <w:rPr>
          <w:rFonts w:cs="Arial"/>
        </w:rPr>
        <w:t xml:space="preserve">Sites which are potentially relevant to the </w:t>
      </w:r>
      <w:r>
        <w:t>Farringdon</w:t>
      </w:r>
      <w:r w:rsidRPr="00C15D24">
        <w:rPr>
          <w:rFonts w:cs="Arial"/>
        </w:rPr>
        <w:t xml:space="preserve"> Neighbourhood Plan are the </w:t>
      </w:r>
      <w:proofErr w:type="spellStart"/>
      <w:r>
        <w:t>Pebblebed</w:t>
      </w:r>
      <w:proofErr w:type="spellEnd"/>
      <w:r>
        <w:t xml:space="preserve"> Heaths as, although they lie a number of kilometres away from Farringdon, development may be required to contribute to mitigation measures.</w:t>
      </w:r>
      <w:r w:rsidR="00CD145E">
        <w:t xml:space="preserve"> There is a County Wildlife Site in an abandoned swimming pool at (former) Farringdon School and several ancient orchards, however none of these sites should be affected by development, particularly housing (as FARR5 allows it only in existing curtilages), </w:t>
      </w:r>
    </w:p>
    <w:p w:rsidR="00332742" w:rsidRDefault="00332742" w:rsidP="00332742">
      <w:pPr>
        <w:pStyle w:val="ListParagraph"/>
        <w:autoSpaceDE w:val="0"/>
        <w:autoSpaceDN w:val="0"/>
        <w:adjustRightInd w:val="0"/>
        <w:spacing w:after="0" w:line="240" w:lineRule="auto"/>
        <w:ind w:left="709"/>
        <w:rPr>
          <w:rFonts w:cs="Arial"/>
        </w:rPr>
      </w:pPr>
    </w:p>
    <w:p w:rsidR="00332742" w:rsidRPr="00A82BD4" w:rsidRDefault="00332742" w:rsidP="005574F4">
      <w:pPr>
        <w:pStyle w:val="ListParagraph"/>
        <w:numPr>
          <w:ilvl w:val="1"/>
          <w:numId w:val="4"/>
        </w:numPr>
        <w:autoSpaceDE w:val="0"/>
        <w:autoSpaceDN w:val="0"/>
        <w:adjustRightInd w:val="0"/>
        <w:spacing w:after="0" w:line="240" w:lineRule="auto"/>
        <w:ind w:left="709" w:hanging="425"/>
        <w:rPr>
          <w:rFonts w:cs="Arial"/>
        </w:rPr>
      </w:pPr>
      <w:r w:rsidRPr="00A82BD4">
        <w:rPr>
          <w:rFonts w:cs="Arial"/>
        </w:rPr>
        <w:t>Natural England will be consulted on this document by the District Council.</w:t>
      </w:r>
    </w:p>
    <w:p w:rsidR="00332742" w:rsidRPr="00AC4DE4" w:rsidRDefault="00332742" w:rsidP="00332742">
      <w:pPr>
        <w:autoSpaceDE w:val="0"/>
        <w:autoSpaceDN w:val="0"/>
        <w:adjustRightInd w:val="0"/>
        <w:spacing w:after="0" w:line="240" w:lineRule="auto"/>
        <w:rPr>
          <w:rFonts w:cs="Arial"/>
        </w:rPr>
      </w:pPr>
    </w:p>
    <w:p w:rsidR="00971141" w:rsidRDefault="00971141" w:rsidP="00332742">
      <w:pPr>
        <w:rPr>
          <w:rFonts w:cs="Arial"/>
          <w:b/>
        </w:rPr>
      </w:pPr>
    </w:p>
    <w:p w:rsidR="00971141" w:rsidRDefault="00971141" w:rsidP="00332742">
      <w:pPr>
        <w:rPr>
          <w:rFonts w:cs="Arial"/>
          <w:b/>
        </w:rPr>
      </w:pPr>
    </w:p>
    <w:p w:rsidR="00332742" w:rsidRPr="00915678" w:rsidRDefault="00332742" w:rsidP="00332742">
      <w:pPr>
        <w:rPr>
          <w:rFonts w:cs="Arial"/>
          <w:b/>
        </w:rPr>
      </w:pPr>
      <w:r w:rsidRPr="00915678">
        <w:rPr>
          <w:rFonts w:cs="Arial"/>
          <w:b/>
        </w:rPr>
        <w:t xml:space="preserve">Screening Criteria Questions </w:t>
      </w:r>
    </w:p>
    <w:p w:rsidR="00332742" w:rsidRPr="00915678" w:rsidRDefault="00332742" w:rsidP="00332742">
      <w:pPr>
        <w:numPr>
          <w:ilvl w:val="0"/>
          <w:numId w:val="2"/>
        </w:numPr>
        <w:ind w:left="426" w:hanging="426"/>
        <w:rPr>
          <w:rFonts w:cs="Arial"/>
        </w:rPr>
      </w:pPr>
      <w:r w:rsidRPr="00915678">
        <w:rPr>
          <w:rFonts w:cs="Arial"/>
        </w:rPr>
        <w:t xml:space="preserve">Is the Neighbourhood Plan directly connected with, or necessary to the management of a European site for nature conservation? </w:t>
      </w:r>
    </w:p>
    <w:p w:rsidR="00332742" w:rsidRPr="00915678" w:rsidRDefault="00332742" w:rsidP="00332742">
      <w:pPr>
        <w:ind w:firstLine="426"/>
        <w:rPr>
          <w:rFonts w:cs="Arial"/>
          <w:i/>
        </w:rPr>
      </w:pPr>
      <w:r w:rsidRPr="00915678">
        <w:rPr>
          <w:rFonts w:cs="Arial"/>
          <w:i/>
        </w:rPr>
        <w:t>No</w:t>
      </w:r>
    </w:p>
    <w:p w:rsidR="00332742" w:rsidRPr="00915678" w:rsidRDefault="00332742" w:rsidP="00332742">
      <w:pPr>
        <w:numPr>
          <w:ilvl w:val="0"/>
          <w:numId w:val="2"/>
        </w:numPr>
        <w:ind w:left="426" w:hanging="426"/>
        <w:rPr>
          <w:rFonts w:cs="Arial"/>
        </w:rPr>
      </w:pPr>
      <w:r w:rsidRPr="00915678">
        <w:rPr>
          <w:rFonts w:cs="Arial"/>
        </w:rPr>
        <w:t>Does the Neighbourhood Plan propose new development or allocate sites for development?</w:t>
      </w:r>
    </w:p>
    <w:p w:rsidR="00332742" w:rsidRPr="00915678" w:rsidRDefault="00332742" w:rsidP="00332742">
      <w:pPr>
        <w:ind w:left="426"/>
        <w:rPr>
          <w:rFonts w:cs="Arial"/>
          <w:i/>
        </w:rPr>
      </w:pPr>
      <w:r>
        <w:rPr>
          <w:rFonts w:cs="Arial"/>
          <w:i/>
        </w:rPr>
        <w:t xml:space="preserve">No. The Plan </w:t>
      </w:r>
      <w:r w:rsidR="00CD145E">
        <w:rPr>
          <w:rFonts w:cs="Arial"/>
          <w:i/>
        </w:rPr>
        <w:t xml:space="preserve">allows for up to 12 single dwellings to be constructed within existing curtilages </w:t>
      </w:r>
      <w:r>
        <w:rPr>
          <w:rFonts w:cs="Arial"/>
          <w:i/>
        </w:rPr>
        <w:t xml:space="preserve">but no specific sites are identified. Any development is likely to be extremely limited in size and scale.  </w:t>
      </w:r>
    </w:p>
    <w:p w:rsidR="00332742" w:rsidRPr="00915678" w:rsidRDefault="00332742" w:rsidP="00332742">
      <w:pPr>
        <w:ind w:left="426"/>
        <w:rPr>
          <w:rFonts w:cs="Arial"/>
          <w:i/>
        </w:rPr>
      </w:pPr>
      <w:r w:rsidRPr="00915678">
        <w:rPr>
          <w:rFonts w:cs="Arial"/>
          <w:i/>
        </w:rPr>
        <w:t xml:space="preserve">The objectives in the Neighbourhood Plan accord with the Local Plan for the District which is subject to an HRA.  A screening opinion was provided by Land Use Consultants early in the Plan production process and an HRA was completed by Footprint Ecology before, and informed, the </w:t>
      </w:r>
      <w:r>
        <w:rPr>
          <w:rFonts w:cs="Arial"/>
          <w:i/>
        </w:rPr>
        <w:t>adopted</w:t>
      </w:r>
      <w:r w:rsidRPr="00915678">
        <w:rPr>
          <w:rFonts w:cs="Arial"/>
          <w:i/>
        </w:rPr>
        <w:t xml:space="preserve"> Local Plan. It indicated that the Local Plan will have sufficient policy provisions to enable the subsequent delivery of necessary measures to avoid and mitigate adverse effects on the integrity of European Sites. </w:t>
      </w:r>
    </w:p>
    <w:p w:rsidR="00332742" w:rsidRPr="00915678" w:rsidRDefault="00332742" w:rsidP="00332742">
      <w:pPr>
        <w:pStyle w:val="ListParagraph"/>
        <w:numPr>
          <w:ilvl w:val="0"/>
          <w:numId w:val="2"/>
        </w:numPr>
        <w:rPr>
          <w:rFonts w:cs="Arial"/>
        </w:rPr>
      </w:pPr>
      <w:r w:rsidRPr="00915678">
        <w:rPr>
          <w:rFonts w:cs="Arial"/>
        </w:rPr>
        <w:t>Are there any other projects or plans that together with the Neighbourhood Plan could impact on the integrity of a European Site?</w:t>
      </w:r>
    </w:p>
    <w:p w:rsidR="00332742" w:rsidRPr="00915678" w:rsidRDefault="00332742" w:rsidP="00332742">
      <w:pPr>
        <w:ind w:firstLine="426"/>
        <w:rPr>
          <w:rFonts w:cs="Arial"/>
          <w:i/>
        </w:rPr>
      </w:pPr>
      <w:r w:rsidRPr="00915678">
        <w:rPr>
          <w:rFonts w:cs="Arial"/>
          <w:i/>
        </w:rPr>
        <w:t>No</w:t>
      </w:r>
    </w:p>
    <w:p w:rsidR="00332742" w:rsidRDefault="00332742" w:rsidP="005574F4">
      <w:pPr>
        <w:pStyle w:val="ListParagraph"/>
        <w:numPr>
          <w:ilvl w:val="1"/>
          <w:numId w:val="4"/>
        </w:numPr>
        <w:ind w:left="426" w:hanging="426"/>
        <w:rPr>
          <w:rFonts w:cs="Arial"/>
          <w:b/>
        </w:rPr>
      </w:pPr>
      <w:r w:rsidRPr="00E229D9">
        <w:rPr>
          <w:rFonts w:cs="Arial"/>
          <w:b/>
        </w:rPr>
        <w:t>Conclusion</w:t>
      </w:r>
    </w:p>
    <w:p w:rsidR="00332742" w:rsidRPr="00E229D9" w:rsidRDefault="00332742" w:rsidP="00332742">
      <w:pPr>
        <w:pStyle w:val="ListParagraph"/>
        <w:ind w:left="426"/>
        <w:rPr>
          <w:rFonts w:cs="Arial"/>
          <w:b/>
        </w:rPr>
      </w:pPr>
    </w:p>
    <w:p w:rsidR="00332742" w:rsidRDefault="00332742" w:rsidP="005574F4">
      <w:pPr>
        <w:pStyle w:val="ListParagraph"/>
        <w:numPr>
          <w:ilvl w:val="1"/>
          <w:numId w:val="4"/>
        </w:numPr>
        <w:ind w:left="851" w:hanging="425"/>
        <w:rPr>
          <w:rFonts w:cs="Arial"/>
        </w:rPr>
      </w:pPr>
      <w:r w:rsidRPr="00AC4DE4">
        <w:rPr>
          <w:rFonts w:cs="Arial"/>
        </w:rPr>
        <w:t xml:space="preserve">The </w:t>
      </w:r>
      <w:r>
        <w:rPr>
          <w:rFonts w:cs="Arial"/>
        </w:rPr>
        <w:t>Farringdon</w:t>
      </w:r>
      <w:r w:rsidRPr="00AC4DE4">
        <w:rPr>
          <w:rFonts w:cs="Arial"/>
        </w:rPr>
        <w:t xml:space="preserve"> Neighbourhood Plan does not require a Habitat Regulation Assessment.</w:t>
      </w:r>
    </w:p>
    <w:p w:rsidR="00332742" w:rsidRDefault="00332742" w:rsidP="00332742">
      <w:pPr>
        <w:pStyle w:val="ListParagraph"/>
        <w:tabs>
          <w:tab w:val="left" w:pos="851"/>
        </w:tabs>
        <w:autoSpaceDE w:val="0"/>
        <w:autoSpaceDN w:val="0"/>
        <w:adjustRightInd w:val="0"/>
        <w:spacing w:after="0" w:line="240" w:lineRule="auto"/>
        <w:ind w:left="851"/>
        <w:rPr>
          <w:rFonts w:cs="Arial"/>
        </w:rPr>
      </w:pPr>
    </w:p>
    <w:p w:rsidR="00332742" w:rsidRDefault="00332742" w:rsidP="005574F4">
      <w:pPr>
        <w:pStyle w:val="ListParagraph"/>
        <w:numPr>
          <w:ilvl w:val="1"/>
          <w:numId w:val="4"/>
        </w:numPr>
        <w:tabs>
          <w:tab w:val="left" w:pos="851"/>
        </w:tabs>
        <w:autoSpaceDE w:val="0"/>
        <w:autoSpaceDN w:val="0"/>
        <w:adjustRightInd w:val="0"/>
        <w:spacing w:after="0" w:line="240" w:lineRule="auto"/>
        <w:ind w:left="851" w:hanging="425"/>
        <w:rPr>
          <w:rFonts w:cs="Arial"/>
        </w:rPr>
      </w:pPr>
      <w:r w:rsidRPr="00EC5219">
        <w:rPr>
          <w:rFonts w:cs="Arial"/>
        </w:rPr>
        <w:t xml:space="preserve">The </w:t>
      </w:r>
      <w:r>
        <w:rPr>
          <w:rFonts w:cs="Arial"/>
        </w:rPr>
        <w:t>Farringdon</w:t>
      </w:r>
      <w:r w:rsidRPr="00EC5219">
        <w:rPr>
          <w:rFonts w:cs="Arial"/>
        </w:rPr>
        <w:t xml:space="preserve"> Neighbourhood Plan is unlikely to have an adverse effect on a European site (as defined in the Conservation of Habitats and Species Regulations 2010 (d), alone or in combination with other plans and projects.  It does not propose a level of development significantly over and above that in the adopted Local Plan (which was itself subject to HRA).  </w:t>
      </w:r>
    </w:p>
    <w:p w:rsidR="00B654FE" w:rsidRDefault="00B07985"/>
    <w:sectPr w:rsidR="00B654FE" w:rsidSect="00332742">
      <w:footerReference w:type="default" r:id="rId8"/>
      <w:pgSz w:w="11920" w:h="16840"/>
      <w:pgMar w:top="1560" w:right="132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42" w:rsidRDefault="00332742" w:rsidP="00332742">
      <w:pPr>
        <w:spacing w:after="0" w:line="240" w:lineRule="auto"/>
      </w:pPr>
      <w:r>
        <w:separator/>
      </w:r>
    </w:p>
  </w:endnote>
  <w:endnote w:type="continuationSeparator" w:id="0">
    <w:p w:rsidR="00332742" w:rsidRDefault="00332742" w:rsidP="0033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GaramondITCbyB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E70" w:rsidRDefault="008D5AB2">
    <w:pPr>
      <w:spacing w:line="200" w:lineRule="exact"/>
    </w:pPr>
    <w:r>
      <w:rPr>
        <w:noProof/>
        <w:lang w:eastAsia="en-GB"/>
      </w:rPr>
      <mc:AlternateContent>
        <mc:Choice Requires="wps">
          <w:drawing>
            <wp:anchor distT="0" distB="0" distL="114300" distR="114300" simplePos="0" relativeHeight="251659264" behindDoc="1" locked="0" layoutInCell="1" allowOverlap="1" wp14:anchorId="56EAF9B0" wp14:editId="0F79C329">
              <wp:simplePos x="0" y="0"/>
              <wp:positionH relativeFrom="page">
                <wp:posOffset>2122805</wp:posOffset>
              </wp:positionH>
              <wp:positionV relativeFrom="page">
                <wp:posOffset>10367010</wp:posOffset>
              </wp:positionV>
              <wp:extent cx="3290570" cy="165735"/>
              <wp:effectExtent l="0" t="3810" r="0" b="1905"/>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E70" w:rsidRDefault="00332742">
                          <w:pPr>
                            <w:spacing w:line="240" w:lineRule="exact"/>
                            <w:ind w:left="20" w:right="-33"/>
                            <w:rPr>
                              <w:rFonts w:ascii="Calibri" w:eastAsia="Calibri" w:hAnsi="Calibri" w:cs="Calibri"/>
                            </w:rPr>
                          </w:pPr>
                          <w:r>
                            <w:rPr>
                              <w:rFonts w:ascii="Calibri" w:eastAsia="Calibri" w:hAnsi="Calibri" w:cs="Calibri"/>
                              <w:color w:val="1F3863"/>
                              <w:position w:val="1"/>
                            </w:rPr>
                            <w:t xml:space="preserve">Farringdon </w:t>
                          </w:r>
                          <w:r w:rsidR="008D5AB2">
                            <w:rPr>
                              <w:rFonts w:ascii="Calibri" w:eastAsia="Calibri" w:hAnsi="Calibri" w:cs="Calibri"/>
                              <w:color w:val="1F3863"/>
                              <w:spacing w:val="-3"/>
                              <w:position w:val="1"/>
                            </w:rPr>
                            <w:t>N</w:t>
                          </w:r>
                          <w:r w:rsidR="008D5AB2">
                            <w:rPr>
                              <w:rFonts w:ascii="Calibri" w:eastAsia="Calibri" w:hAnsi="Calibri" w:cs="Calibri"/>
                              <w:color w:val="1F3863"/>
                              <w:position w:val="1"/>
                            </w:rPr>
                            <w:t>eig</w:t>
                          </w:r>
                          <w:r w:rsidR="008D5AB2">
                            <w:rPr>
                              <w:rFonts w:ascii="Calibri" w:eastAsia="Calibri" w:hAnsi="Calibri" w:cs="Calibri"/>
                              <w:color w:val="1F3863"/>
                              <w:spacing w:val="-1"/>
                              <w:position w:val="1"/>
                            </w:rPr>
                            <w:t>hb</w:t>
                          </w:r>
                          <w:r w:rsidR="008D5AB2">
                            <w:rPr>
                              <w:rFonts w:ascii="Calibri" w:eastAsia="Calibri" w:hAnsi="Calibri" w:cs="Calibri"/>
                              <w:color w:val="1F3863"/>
                              <w:spacing w:val="1"/>
                              <w:position w:val="1"/>
                            </w:rPr>
                            <w:t>o</w:t>
                          </w:r>
                          <w:r w:rsidR="008D5AB2">
                            <w:rPr>
                              <w:rFonts w:ascii="Calibri" w:eastAsia="Calibri" w:hAnsi="Calibri" w:cs="Calibri"/>
                              <w:color w:val="1F3863"/>
                              <w:spacing w:val="-1"/>
                              <w:position w:val="1"/>
                            </w:rPr>
                            <w:t>u</w:t>
                          </w:r>
                          <w:r w:rsidR="008D5AB2">
                            <w:rPr>
                              <w:rFonts w:ascii="Calibri" w:eastAsia="Calibri" w:hAnsi="Calibri" w:cs="Calibri"/>
                              <w:color w:val="1F3863"/>
                              <w:position w:val="1"/>
                            </w:rPr>
                            <w:t>r</w:t>
                          </w:r>
                          <w:r w:rsidR="008D5AB2">
                            <w:rPr>
                              <w:rFonts w:ascii="Calibri" w:eastAsia="Calibri" w:hAnsi="Calibri" w:cs="Calibri"/>
                              <w:color w:val="1F3863"/>
                              <w:spacing w:val="-1"/>
                              <w:position w:val="1"/>
                            </w:rPr>
                            <w:t>ho</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d</w:t>
                          </w:r>
                          <w:r w:rsidR="008D5AB2">
                            <w:rPr>
                              <w:rFonts w:ascii="Calibri" w:eastAsia="Calibri" w:hAnsi="Calibri" w:cs="Calibri"/>
                              <w:color w:val="1F3863"/>
                              <w:spacing w:val="-3"/>
                              <w:position w:val="1"/>
                            </w:rPr>
                            <w:t xml:space="preserve"> </w:t>
                          </w:r>
                          <w:r w:rsidR="008D5AB2">
                            <w:rPr>
                              <w:rFonts w:ascii="Calibri" w:eastAsia="Calibri" w:hAnsi="Calibri" w:cs="Calibri"/>
                              <w:color w:val="1F3863"/>
                              <w:spacing w:val="1"/>
                              <w:position w:val="1"/>
                            </w:rPr>
                            <w:t>P</w:t>
                          </w:r>
                          <w:r w:rsidR="008D5AB2">
                            <w:rPr>
                              <w:rFonts w:ascii="Calibri" w:eastAsia="Calibri" w:hAnsi="Calibri" w:cs="Calibri"/>
                              <w:color w:val="1F3863"/>
                              <w:position w:val="1"/>
                            </w:rPr>
                            <w:t>lan</w:t>
                          </w:r>
                          <w:r w:rsidR="008D5AB2">
                            <w:rPr>
                              <w:rFonts w:ascii="Calibri" w:eastAsia="Calibri" w:hAnsi="Calibri" w:cs="Calibri"/>
                              <w:color w:val="1F3863"/>
                              <w:spacing w:val="1"/>
                              <w:position w:val="1"/>
                            </w:rPr>
                            <w:t xml:space="preserve"> </w:t>
                          </w:r>
                          <w:r w:rsidR="008D5AB2">
                            <w:rPr>
                              <w:rFonts w:ascii="Calibri" w:eastAsia="Calibri" w:hAnsi="Calibri" w:cs="Calibri"/>
                              <w:color w:val="1F3863"/>
                              <w:position w:val="1"/>
                            </w:rPr>
                            <w:t>–</w:t>
                          </w:r>
                          <w:r w:rsidR="008D5AB2">
                            <w:rPr>
                              <w:rFonts w:ascii="Calibri" w:eastAsia="Calibri" w:hAnsi="Calibri" w:cs="Calibri"/>
                              <w:color w:val="1F3863"/>
                              <w:spacing w:val="-1"/>
                              <w:position w:val="1"/>
                            </w:rPr>
                            <w:t xml:space="preserve"> </w:t>
                          </w:r>
                          <w:r w:rsidR="008D5AB2">
                            <w:rPr>
                              <w:rFonts w:ascii="Calibri" w:eastAsia="Calibri" w:hAnsi="Calibri" w:cs="Calibri"/>
                              <w:color w:val="1F3863"/>
                              <w:spacing w:val="1"/>
                              <w:position w:val="1"/>
                            </w:rPr>
                            <w:t>P</w:t>
                          </w:r>
                          <w:r w:rsidR="008D5AB2">
                            <w:rPr>
                              <w:rFonts w:ascii="Calibri" w:eastAsia="Calibri" w:hAnsi="Calibri" w:cs="Calibri"/>
                              <w:color w:val="1F3863"/>
                              <w:position w:val="1"/>
                            </w:rPr>
                            <w:t>r</w:t>
                          </w:r>
                          <w:r w:rsidR="008D5AB2">
                            <w:rPr>
                              <w:rFonts w:ascii="Calibri" w:eastAsia="Calibri" w:hAnsi="Calibri" w:cs="Calibri"/>
                              <w:color w:val="1F3863"/>
                              <w:spacing w:val="1"/>
                              <w:position w:val="1"/>
                            </w:rPr>
                            <w:t>e</w:t>
                          </w:r>
                          <w:r w:rsidR="008D5AB2">
                            <w:rPr>
                              <w:rFonts w:ascii="Calibri" w:eastAsia="Calibri" w:hAnsi="Calibri" w:cs="Calibri"/>
                              <w:color w:val="1F3863"/>
                              <w:spacing w:val="-3"/>
                              <w:position w:val="1"/>
                            </w:rPr>
                            <w:t>-</w:t>
                          </w:r>
                          <w:r w:rsidR="008D5AB2">
                            <w:rPr>
                              <w:rFonts w:ascii="Calibri" w:eastAsia="Calibri" w:hAnsi="Calibri" w:cs="Calibri"/>
                              <w:color w:val="1F3863"/>
                              <w:position w:val="1"/>
                            </w:rPr>
                            <w:t>su</w:t>
                          </w:r>
                          <w:r w:rsidR="008D5AB2">
                            <w:rPr>
                              <w:rFonts w:ascii="Calibri" w:eastAsia="Calibri" w:hAnsi="Calibri" w:cs="Calibri"/>
                              <w:color w:val="1F3863"/>
                              <w:spacing w:val="-2"/>
                              <w:position w:val="1"/>
                            </w:rPr>
                            <w:t>b</w:t>
                          </w:r>
                          <w:r w:rsidR="008D5AB2">
                            <w:rPr>
                              <w:rFonts w:ascii="Calibri" w:eastAsia="Calibri" w:hAnsi="Calibri" w:cs="Calibri"/>
                              <w:color w:val="1F3863"/>
                              <w:spacing w:val="1"/>
                              <w:position w:val="1"/>
                            </w:rPr>
                            <w:t>m</w:t>
                          </w:r>
                          <w:r w:rsidR="008D5AB2">
                            <w:rPr>
                              <w:rFonts w:ascii="Calibri" w:eastAsia="Calibri" w:hAnsi="Calibri" w:cs="Calibri"/>
                              <w:color w:val="1F3863"/>
                              <w:position w:val="1"/>
                            </w:rPr>
                            <w:t>iss</w:t>
                          </w:r>
                          <w:r w:rsidR="008D5AB2">
                            <w:rPr>
                              <w:rFonts w:ascii="Calibri" w:eastAsia="Calibri" w:hAnsi="Calibri" w:cs="Calibri"/>
                              <w:color w:val="1F3863"/>
                              <w:spacing w:val="-3"/>
                              <w:position w:val="1"/>
                            </w:rPr>
                            <w:t>i</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n Ve</w:t>
                          </w:r>
                          <w:r w:rsidR="008D5AB2">
                            <w:rPr>
                              <w:rFonts w:ascii="Calibri" w:eastAsia="Calibri" w:hAnsi="Calibri" w:cs="Calibri"/>
                              <w:color w:val="1F3863"/>
                              <w:spacing w:val="-3"/>
                              <w:position w:val="1"/>
                            </w:rPr>
                            <w:t>r</w:t>
                          </w:r>
                          <w:r w:rsidR="008D5AB2">
                            <w:rPr>
                              <w:rFonts w:ascii="Calibri" w:eastAsia="Calibri" w:hAnsi="Calibri" w:cs="Calibri"/>
                              <w:color w:val="1F3863"/>
                              <w:position w:val="1"/>
                            </w:rPr>
                            <w:t>s</w:t>
                          </w:r>
                          <w:r w:rsidR="008D5AB2">
                            <w:rPr>
                              <w:rFonts w:ascii="Calibri" w:eastAsia="Calibri" w:hAnsi="Calibri" w:cs="Calibri"/>
                              <w:color w:val="1F3863"/>
                              <w:spacing w:val="-3"/>
                              <w:position w:val="1"/>
                            </w:rPr>
                            <w:t>i</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F9B0" id="_x0000_t202" coordsize="21600,21600" o:spt="202" path="m,l,21600r21600,l21600,xe">
              <v:stroke joinstyle="miter"/>
              <v:path gradientshapeok="t" o:connecttype="rect"/>
            </v:shapetype>
            <v:shape id="Text Box 668" o:spid="_x0000_s1026" type="#_x0000_t202" style="position:absolute;margin-left:167.15pt;margin-top:816.3pt;width:259.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YarwIAAK0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" filled="f" stroked="f">
              <v:textbox inset="0,0,0,0">
                <w:txbxContent>
                  <w:p w:rsidR="00366E70" w:rsidRDefault="00332742">
                    <w:pPr>
                      <w:spacing w:line="240" w:lineRule="exact"/>
                      <w:ind w:left="20" w:right="-33"/>
                      <w:rPr>
                        <w:rFonts w:ascii="Calibri" w:eastAsia="Calibri" w:hAnsi="Calibri" w:cs="Calibri"/>
                      </w:rPr>
                    </w:pPr>
                    <w:r>
                      <w:rPr>
                        <w:rFonts w:ascii="Calibri" w:eastAsia="Calibri" w:hAnsi="Calibri" w:cs="Calibri"/>
                        <w:color w:val="1F3863"/>
                        <w:position w:val="1"/>
                      </w:rPr>
                      <w:t xml:space="preserve">Farringdon </w:t>
                    </w:r>
                    <w:r w:rsidR="008D5AB2">
                      <w:rPr>
                        <w:rFonts w:ascii="Calibri" w:eastAsia="Calibri" w:hAnsi="Calibri" w:cs="Calibri"/>
                        <w:color w:val="1F3863"/>
                        <w:spacing w:val="-3"/>
                        <w:position w:val="1"/>
                      </w:rPr>
                      <w:t>N</w:t>
                    </w:r>
                    <w:r w:rsidR="008D5AB2">
                      <w:rPr>
                        <w:rFonts w:ascii="Calibri" w:eastAsia="Calibri" w:hAnsi="Calibri" w:cs="Calibri"/>
                        <w:color w:val="1F3863"/>
                        <w:position w:val="1"/>
                      </w:rPr>
                      <w:t>eig</w:t>
                    </w:r>
                    <w:r w:rsidR="008D5AB2">
                      <w:rPr>
                        <w:rFonts w:ascii="Calibri" w:eastAsia="Calibri" w:hAnsi="Calibri" w:cs="Calibri"/>
                        <w:color w:val="1F3863"/>
                        <w:spacing w:val="-1"/>
                        <w:position w:val="1"/>
                      </w:rPr>
                      <w:t>hb</w:t>
                    </w:r>
                    <w:r w:rsidR="008D5AB2">
                      <w:rPr>
                        <w:rFonts w:ascii="Calibri" w:eastAsia="Calibri" w:hAnsi="Calibri" w:cs="Calibri"/>
                        <w:color w:val="1F3863"/>
                        <w:spacing w:val="1"/>
                        <w:position w:val="1"/>
                      </w:rPr>
                      <w:t>o</w:t>
                    </w:r>
                    <w:r w:rsidR="008D5AB2">
                      <w:rPr>
                        <w:rFonts w:ascii="Calibri" w:eastAsia="Calibri" w:hAnsi="Calibri" w:cs="Calibri"/>
                        <w:color w:val="1F3863"/>
                        <w:spacing w:val="-1"/>
                        <w:position w:val="1"/>
                      </w:rPr>
                      <w:t>u</w:t>
                    </w:r>
                    <w:r w:rsidR="008D5AB2">
                      <w:rPr>
                        <w:rFonts w:ascii="Calibri" w:eastAsia="Calibri" w:hAnsi="Calibri" w:cs="Calibri"/>
                        <w:color w:val="1F3863"/>
                        <w:position w:val="1"/>
                      </w:rPr>
                      <w:t>r</w:t>
                    </w:r>
                    <w:r w:rsidR="008D5AB2">
                      <w:rPr>
                        <w:rFonts w:ascii="Calibri" w:eastAsia="Calibri" w:hAnsi="Calibri" w:cs="Calibri"/>
                        <w:color w:val="1F3863"/>
                        <w:spacing w:val="-1"/>
                        <w:position w:val="1"/>
                      </w:rPr>
                      <w:t>ho</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d</w:t>
                    </w:r>
                    <w:r w:rsidR="008D5AB2">
                      <w:rPr>
                        <w:rFonts w:ascii="Calibri" w:eastAsia="Calibri" w:hAnsi="Calibri" w:cs="Calibri"/>
                        <w:color w:val="1F3863"/>
                        <w:spacing w:val="-3"/>
                        <w:position w:val="1"/>
                      </w:rPr>
                      <w:t xml:space="preserve"> </w:t>
                    </w:r>
                    <w:r w:rsidR="008D5AB2">
                      <w:rPr>
                        <w:rFonts w:ascii="Calibri" w:eastAsia="Calibri" w:hAnsi="Calibri" w:cs="Calibri"/>
                        <w:color w:val="1F3863"/>
                        <w:spacing w:val="1"/>
                        <w:position w:val="1"/>
                      </w:rPr>
                      <w:t>P</w:t>
                    </w:r>
                    <w:r w:rsidR="008D5AB2">
                      <w:rPr>
                        <w:rFonts w:ascii="Calibri" w:eastAsia="Calibri" w:hAnsi="Calibri" w:cs="Calibri"/>
                        <w:color w:val="1F3863"/>
                        <w:position w:val="1"/>
                      </w:rPr>
                      <w:t>lan</w:t>
                    </w:r>
                    <w:r w:rsidR="008D5AB2">
                      <w:rPr>
                        <w:rFonts w:ascii="Calibri" w:eastAsia="Calibri" w:hAnsi="Calibri" w:cs="Calibri"/>
                        <w:color w:val="1F3863"/>
                        <w:spacing w:val="1"/>
                        <w:position w:val="1"/>
                      </w:rPr>
                      <w:t xml:space="preserve"> </w:t>
                    </w:r>
                    <w:r w:rsidR="008D5AB2">
                      <w:rPr>
                        <w:rFonts w:ascii="Calibri" w:eastAsia="Calibri" w:hAnsi="Calibri" w:cs="Calibri"/>
                        <w:color w:val="1F3863"/>
                        <w:position w:val="1"/>
                      </w:rPr>
                      <w:t>–</w:t>
                    </w:r>
                    <w:r w:rsidR="008D5AB2">
                      <w:rPr>
                        <w:rFonts w:ascii="Calibri" w:eastAsia="Calibri" w:hAnsi="Calibri" w:cs="Calibri"/>
                        <w:color w:val="1F3863"/>
                        <w:spacing w:val="-1"/>
                        <w:position w:val="1"/>
                      </w:rPr>
                      <w:t xml:space="preserve"> </w:t>
                    </w:r>
                    <w:r w:rsidR="008D5AB2">
                      <w:rPr>
                        <w:rFonts w:ascii="Calibri" w:eastAsia="Calibri" w:hAnsi="Calibri" w:cs="Calibri"/>
                        <w:color w:val="1F3863"/>
                        <w:spacing w:val="1"/>
                        <w:position w:val="1"/>
                      </w:rPr>
                      <w:t>P</w:t>
                    </w:r>
                    <w:r w:rsidR="008D5AB2">
                      <w:rPr>
                        <w:rFonts w:ascii="Calibri" w:eastAsia="Calibri" w:hAnsi="Calibri" w:cs="Calibri"/>
                        <w:color w:val="1F3863"/>
                        <w:position w:val="1"/>
                      </w:rPr>
                      <w:t>r</w:t>
                    </w:r>
                    <w:r w:rsidR="008D5AB2">
                      <w:rPr>
                        <w:rFonts w:ascii="Calibri" w:eastAsia="Calibri" w:hAnsi="Calibri" w:cs="Calibri"/>
                        <w:color w:val="1F3863"/>
                        <w:spacing w:val="1"/>
                        <w:position w:val="1"/>
                      </w:rPr>
                      <w:t>e</w:t>
                    </w:r>
                    <w:r w:rsidR="008D5AB2">
                      <w:rPr>
                        <w:rFonts w:ascii="Calibri" w:eastAsia="Calibri" w:hAnsi="Calibri" w:cs="Calibri"/>
                        <w:color w:val="1F3863"/>
                        <w:spacing w:val="-3"/>
                        <w:position w:val="1"/>
                      </w:rPr>
                      <w:t>-</w:t>
                    </w:r>
                    <w:r w:rsidR="008D5AB2">
                      <w:rPr>
                        <w:rFonts w:ascii="Calibri" w:eastAsia="Calibri" w:hAnsi="Calibri" w:cs="Calibri"/>
                        <w:color w:val="1F3863"/>
                        <w:position w:val="1"/>
                      </w:rPr>
                      <w:t>su</w:t>
                    </w:r>
                    <w:r w:rsidR="008D5AB2">
                      <w:rPr>
                        <w:rFonts w:ascii="Calibri" w:eastAsia="Calibri" w:hAnsi="Calibri" w:cs="Calibri"/>
                        <w:color w:val="1F3863"/>
                        <w:spacing w:val="-2"/>
                        <w:position w:val="1"/>
                      </w:rPr>
                      <w:t>b</w:t>
                    </w:r>
                    <w:r w:rsidR="008D5AB2">
                      <w:rPr>
                        <w:rFonts w:ascii="Calibri" w:eastAsia="Calibri" w:hAnsi="Calibri" w:cs="Calibri"/>
                        <w:color w:val="1F3863"/>
                        <w:spacing w:val="1"/>
                        <w:position w:val="1"/>
                      </w:rPr>
                      <w:t>m</w:t>
                    </w:r>
                    <w:r w:rsidR="008D5AB2">
                      <w:rPr>
                        <w:rFonts w:ascii="Calibri" w:eastAsia="Calibri" w:hAnsi="Calibri" w:cs="Calibri"/>
                        <w:color w:val="1F3863"/>
                        <w:position w:val="1"/>
                      </w:rPr>
                      <w:t>iss</w:t>
                    </w:r>
                    <w:r w:rsidR="008D5AB2">
                      <w:rPr>
                        <w:rFonts w:ascii="Calibri" w:eastAsia="Calibri" w:hAnsi="Calibri" w:cs="Calibri"/>
                        <w:color w:val="1F3863"/>
                        <w:spacing w:val="-3"/>
                        <w:position w:val="1"/>
                      </w:rPr>
                      <w:t>i</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n Ve</w:t>
                    </w:r>
                    <w:r w:rsidR="008D5AB2">
                      <w:rPr>
                        <w:rFonts w:ascii="Calibri" w:eastAsia="Calibri" w:hAnsi="Calibri" w:cs="Calibri"/>
                        <w:color w:val="1F3863"/>
                        <w:spacing w:val="-3"/>
                        <w:position w:val="1"/>
                      </w:rPr>
                      <w:t>r</w:t>
                    </w:r>
                    <w:r w:rsidR="008D5AB2">
                      <w:rPr>
                        <w:rFonts w:ascii="Calibri" w:eastAsia="Calibri" w:hAnsi="Calibri" w:cs="Calibri"/>
                        <w:color w:val="1F3863"/>
                        <w:position w:val="1"/>
                      </w:rPr>
                      <w:t>s</w:t>
                    </w:r>
                    <w:r w:rsidR="008D5AB2">
                      <w:rPr>
                        <w:rFonts w:ascii="Calibri" w:eastAsia="Calibri" w:hAnsi="Calibri" w:cs="Calibri"/>
                        <w:color w:val="1F3863"/>
                        <w:spacing w:val="-3"/>
                        <w:position w:val="1"/>
                      </w:rPr>
                      <w:t>i</w:t>
                    </w:r>
                    <w:r w:rsidR="008D5AB2">
                      <w:rPr>
                        <w:rFonts w:ascii="Calibri" w:eastAsia="Calibri" w:hAnsi="Calibri" w:cs="Calibri"/>
                        <w:color w:val="1F3863"/>
                        <w:spacing w:val="1"/>
                        <w:position w:val="1"/>
                      </w:rPr>
                      <w:t>o</w:t>
                    </w:r>
                    <w:r w:rsidR="008D5AB2">
                      <w:rPr>
                        <w:rFonts w:ascii="Calibri" w:eastAsia="Calibri" w:hAnsi="Calibri" w:cs="Calibri"/>
                        <w:color w:val="1F3863"/>
                        <w:position w:val="1"/>
                      </w:rPr>
                      <w:t>n</w:t>
                    </w: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D40B6CA" wp14:editId="46B13461">
              <wp:simplePos x="0" y="0"/>
              <wp:positionH relativeFrom="page">
                <wp:posOffset>6480175</wp:posOffset>
              </wp:positionH>
              <wp:positionV relativeFrom="page">
                <wp:posOffset>10367010</wp:posOffset>
              </wp:positionV>
              <wp:extent cx="194310" cy="165735"/>
              <wp:effectExtent l="3175" t="3810" r="2540" b="190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E70" w:rsidRDefault="008D5AB2">
                          <w:pPr>
                            <w:spacing w:line="240" w:lineRule="exact"/>
                            <w:ind w:left="40"/>
                            <w:rPr>
                              <w:rFonts w:ascii="Calibri" w:eastAsia="Calibri" w:hAnsi="Calibri" w:cs="Calibri"/>
                            </w:rPr>
                          </w:pPr>
                          <w:r>
                            <w:fldChar w:fldCharType="begin"/>
                          </w:r>
                          <w:r>
                            <w:rPr>
                              <w:rFonts w:ascii="Calibri" w:eastAsia="Calibri" w:hAnsi="Calibri" w:cs="Calibri"/>
                              <w:color w:val="1F3863"/>
                              <w:position w:val="1"/>
                            </w:rPr>
                            <w:instrText xml:space="preserve"> PAGE </w:instrText>
                          </w:r>
                          <w:r>
                            <w:fldChar w:fldCharType="separate"/>
                          </w:r>
                          <w:r w:rsidR="00B07985">
                            <w:rPr>
                              <w:rFonts w:ascii="Calibri" w:eastAsia="Calibri" w:hAnsi="Calibri" w:cs="Calibri"/>
                              <w:noProof/>
                              <w:color w:val="1F3863"/>
                              <w:position w:val="1"/>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0B6CA" id="_x0000_t202" coordsize="21600,21600" o:spt="202" path="m,l,21600r21600,l21600,xe">
              <v:stroke joinstyle="miter"/>
              <v:path gradientshapeok="t" o:connecttype="rect"/>
            </v:shapetype>
            <v:shape id="Text Box 667" o:spid="_x0000_s1027" type="#_x0000_t202" style="position:absolute;margin-left:510.25pt;margin-top:816.3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IsAIAALM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" filled="f" stroked="f">
              <v:textbox inset="0,0,0,0">
                <w:txbxContent>
                  <w:p w:rsidR="00366E70" w:rsidRDefault="008D5AB2">
                    <w:pPr>
                      <w:spacing w:line="240" w:lineRule="exact"/>
                      <w:ind w:left="40"/>
                      <w:rPr>
                        <w:rFonts w:ascii="Calibri" w:eastAsia="Calibri" w:hAnsi="Calibri" w:cs="Calibri"/>
                      </w:rPr>
                    </w:pPr>
                    <w:r>
                      <w:fldChar w:fldCharType="begin"/>
                    </w:r>
                    <w:r>
                      <w:rPr>
                        <w:rFonts w:ascii="Calibri" w:eastAsia="Calibri" w:hAnsi="Calibri" w:cs="Calibri"/>
                        <w:color w:val="1F3863"/>
                        <w:position w:val="1"/>
                      </w:rPr>
                      <w:instrText xml:space="preserve"> PAGE </w:instrText>
                    </w:r>
                    <w:r>
                      <w:fldChar w:fldCharType="separate"/>
                    </w:r>
                    <w:r w:rsidR="00B07985">
                      <w:rPr>
                        <w:rFonts w:ascii="Calibri" w:eastAsia="Calibri" w:hAnsi="Calibri" w:cs="Calibri"/>
                        <w:noProof/>
                        <w:color w:val="1F3863"/>
                        <w:position w:val="1"/>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42" w:rsidRDefault="00332742" w:rsidP="00332742">
      <w:pPr>
        <w:spacing w:after="0" w:line="240" w:lineRule="auto"/>
      </w:pPr>
      <w:r>
        <w:separator/>
      </w:r>
    </w:p>
  </w:footnote>
  <w:footnote w:type="continuationSeparator" w:id="0">
    <w:p w:rsidR="00332742" w:rsidRDefault="00332742" w:rsidP="00332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1861"/>
    <w:multiLevelType w:val="multilevel"/>
    <w:tmpl w:val="B4BAB4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6D90462"/>
    <w:multiLevelType w:val="multilevel"/>
    <w:tmpl w:val="B09A98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C43A9B"/>
    <w:multiLevelType w:val="multilevel"/>
    <w:tmpl w:val="051EB4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A9B1904"/>
    <w:multiLevelType w:val="multilevel"/>
    <w:tmpl w:val="FC8E9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4" w15:restartNumberingAfterBreak="0">
    <w:nsid w:val="7F4D73BD"/>
    <w:multiLevelType w:val="hybridMultilevel"/>
    <w:tmpl w:val="F1921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42"/>
    <w:rsid w:val="00030490"/>
    <w:rsid w:val="00332742"/>
    <w:rsid w:val="005574F4"/>
    <w:rsid w:val="00602610"/>
    <w:rsid w:val="00845F7A"/>
    <w:rsid w:val="008D5AB2"/>
    <w:rsid w:val="00971141"/>
    <w:rsid w:val="009A23CB"/>
    <w:rsid w:val="00AD05DC"/>
    <w:rsid w:val="00B07985"/>
    <w:rsid w:val="00B94D47"/>
    <w:rsid w:val="00CD145E"/>
    <w:rsid w:val="00F2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A0FD09-6FB1-4AD1-901E-681DDCAF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7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42"/>
    <w:pPr>
      <w:ind w:left="720"/>
      <w:contextualSpacing/>
    </w:pPr>
  </w:style>
  <w:style w:type="paragraph" w:customStyle="1" w:styleId="Default">
    <w:name w:val="Default"/>
    <w:rsid w:val="00332742"/>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332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42"/>
  </w:style>
  <w:style w:type="paragraph" w:styleId="Footer">
    <w:name w:val="footer"/>
    <w:basedOn w:val="Normal"/>
    <w:link w:val="FooterChar"/>
    <w:uiPriority w:val="99"/>
    <w:unhideWhenUsed/>
    <w:rsid w:val="00332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Rodway</dc:creator>
  <cp:keywords/>
  <dc:description/>
  <cp:lastModifiedBy>Claire Rodway</cp:lastModifiedBy>
  <cp:revision>2</cp:revision>
  <dcterms:created xsi:type="dcterms:W3CDTF">2020-08-11T08:18:00Z</dcterms:created>
  <dcterms:modified xsi:type="dcterms:W3CDTF">2020-08-11T08:18:00Z</dcterms:modified>
</cp:coreProperties>
</file>